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733"/>
      </w:tblGrid>
      <w:tr w:rsidR="0094182C" w14:paraId="76C2B385" w14:textId="77777777" w:rsidTr="009D5492">
        <w:trPr>
          <w:trHeight w:val="1133"/>
        </w:trPr>
        <w:tc>
          <w:tcPr>
            <w:tcW w:w="9354" w:type="dxa"/>
            <w:gridSpan w:val="2"/>
            <w:shd w:val="clear" w:color="auto" w:fill="C6D9F1" w:themeFill="text2" w:themeFillTint="33"/>
          </w:tcPr>
          <w:p w14:paraId="516A466D" w14:textId="77777777" w:rsidR="0094182C" w:rsidRPr="009D5492" w:rsidRDefault="0094182C" w:rsidP="0094182C">
            <w:pPr>
              <w:jc w:val="center"/>
              <w:rPr>
                <w:rFonts w:ascii="Times New Roman" w:hAnsi="Times New Roman" w:cs="Times New Roman"/>
                <w:b/>
                <w:color w:val="C6D9F1" w:themeColor="text2" w:themeTint="33"/>
              </w:rPr>
            </w:pPr>
            <w:r>
              <w:rPr>
                <w:rFonts w:ascii="Times New Roman" w:hAnsi="Times New Roman" w:cs="Times New Roman"/>
              </w:rPr>
              <w:t xml:space="preserve">                                                                                                                                                               </w:t>
            </w:r>
            <w:r w:rsidRPr="00B028DE">
              <w:rPr>
                <w:rFonts w:ascii="Times New Roman" w:hAnsi="Times New Roman" w:cs="Times New Roman"/>
                <w:b/>
              </w:rPr>
              <w:t xml:space="preserve">IZVJEŠĆE O PROVEDENOM SAVJETOVANJU </w:t>
            </w:r>
          </w:p>
          <w:p w14:paraId="643595DA" w14:textId="69960D17" w:rsidR="0094182C" w:rsidRPr="00E30C37" w:rsidRDefault="00B028DE" w:rsidP="00E30C37">
            <w:pPr>
              <w:tabs>
                <w:tab w:val="left" w:pos="188"/>
                <w:tab w:val="center" w:pos="4569"/>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94182C" w:rsidRPr="00B028DE">
              <w:rPr>
                <w:rFonts w:ascii="Times New Roman" w:hAnsi="Times New Roman" w:cs="Times New Roman"/>
                <w:b/>
              </w:rPr>
              <w:t xml:space="preserve"> SA ZAINTERESIRANOM JAVNOŠĆU</w:t>
            </w:r>
          </w:p>
        </w:tc>
      </w:tr>
      <w:tr w:rsidR="0094182C" w14:paraId="50CAA604" w14:textId="77777777" w:rsidTr="0094182C">
        <w:trPr>
          <w:trHeight w:val="903"/>
        </w:trPr>
        <w:tc>
          <w:tcPr>
            <w:tcW w:w="4621" w:type="dxa"/>
          </w:tcPr>
          <w:p w14:paraId="266DE1AA" w14:textId="77777777" w:rsidR="0094182C" w:rsidRDefault="0094182C" w:rsidP="0094182C">
            <w:r>
              <w:t>Naziv akta za koji je provedeno savjetovanje s javnošću</w:t>
            </w:r>
          </w:p>
        </w:tc>
        <w:tc>
          <w:tcPr>
            <w:tcW w:w="4733" w:type="dxa"/>
          </w:tcPr>
          <w:p w14:paraId="60770368" w14:textId="50D90E54" w:rsidR="0094182C" w:rsidRPr="007D1416" w:rsidRDefault="0094182C" w:rsidP="0094182C">
            <w:pPr>
              <w:rPr>
                <w:b/>
                <w:bCs/>
              </w:rPr>
            </w:pPr>
            <w:r>
              <w:t>Prijedlog Odluke o</w:t>
            </w:r>
            <w:r w:rsidR="007D1416">
              <w:t xml:space="preserve"> agrotehničkim mjerama</w:t>
            </w:r>
            <w:r w:rsidR="007D1416" w:rsidRPr="007D1416">
              <w:rPr>
                <w:b/>
                <w:bCs/>
              </w:rPr>
              <w:t xml:space="preserve">, </w:t>
            </w:r>
            <w:r w:rsidR="007D1416" w:rsidRPr="007D1416">
              <w:t>mjerama za uređivanje i održavanje poljoprivrednih rudina i mjerama  zaštite od požara na području Grada Nova Gradiška</w:t>
            </w:r>
          </w:p>
        </w:tc>
      </w:tr>
      <w:tr w:rsidR="0094182C" w14:paraId="724259A9" w14:textId="77777777" w:rsidTr="0094182C">
        <w:trPr>
          <w:trHeight w:val="845"/>
        </w:trPr>
        <w:tc>
          <w:tcPr>
            <w:tcW w:w="4621" w:type="dxa"/>
          </w:tcPr>
          <w:p w14:paraId="094FBD40" w14:textId="77777777" w:rsidR="0094182C" w:rsidRDefault="0094182C" w:rsidP="0094182C">
            <w:r>
              <w:t>Stvaratelj dokumenta, tijelo koje provodi savjetovanje</w:t>
            </w:r>
          </w:p>
        </w:tc>
        <w:tc>
          <w:tcPr>
            <w:tcW w:w="4733" w:type="dxa"/>
          </w:tcPr>
          <w:p w14:paraId="531BF2E7" w14:textId="5722413C" w:rsidR="0094182C" w:rsidRDefault="0094182C" w:rsidP="0094182C">
            <w:r>
              <w:t xml:space="preserve">Upravni odjela za </w:t>
            </w:r>
            <w:r w:rsidR="007D1416">
              <w:t>komunalne djelatnosti</w:t>
            </w:r>
          </w:p>
        </w:tc>
      </w:tr>
      <w:tr w:rsidR="0094182C" w14:paraId="2C5D4161" w14:textId="77777777" w:rsidTr="0094182C">
        <w:trPr>
          <w:trHeight w:val="1302"/>
        </w:trPr>
        <w:tc>
          <w:tcPr>
            <w:tcW w:w="4621" w:type="dxa"/>
          </w:tcPr>
          <w:p w14:paraId="289C6182" w14:textId="77777777" w:rsidR="0094182C" w:rsidRDefault="0094182C" w:rsidP="0094182C"/>
          <w:p w14:paraId="0231BE03" w14:textId="3DD1633B" w:rsidR="00067952" w:rsidRDefault="00067952" w:rsidP="0094182C"/>
        </w:tc>
        <w:tc>
          <w:tcPr>
            <w:tcW w:w="4733" w:type="dxa"/>
          </w:tcPr>
          <w:p w14:paraId="49532286" w14:textId="40A119CC" w:rsidR="0094182C" w:rsidRPr="009D5492" w:rsidRDefault="0094182C" w:rsidP="0094182C">
            <w:pPr>
              <w:rPr>
                <w:b/>
                <w:bCs/>
              </w:rPr>
            </w:pPr>
            <w:r>
              <w:t>Savjetova</w:t>
            </w:r>
            <w:r w:rsidR="00B028DE">
              <w:t xml:space="preserve">nje sa zainteresiranom javnošću </w:t>
            </w:r>
            <w:r>
              <w:t xml:space="preserve">objavljeno je na službenoj stranici </w:t>
            </w:r>
            <w:r w:rsidRPr="009D5492">
              <w:rPr>
                <w:b/>
                <w:bCs/>
              </w:rPr>
              <w:t xml:space="preserve">Grada Nova Gradiška </w:t>
            </w:r>
            <w:r w:rsidR="007D1416" w:rsidRPr="009D5492">
              <w:rPr>
                <w:b/>
                <w:bCs/>
              </w:rPr>
              <w:t xml:space="preserve"> </w:t>
            </w:r>
          </w:p>
          <w:p w14:paraId="11C965D7" w14:textId="4F5B48E5" w:rsidR="007D1416" w:rsidRDefault="003C0FAC" w:rsidP="0094182C">
            <w:hyperlink r:id="rId5" w:history="1">
              <w:r w:rsidRPr="009D5492">
                <w:rPr>
                  <w:rStyle w:val="Hiperveza"/>
                </w:rPr>
                <w:t>https://novagradiska.hr/news/obavijest-o-savjetovanju-sa-zainteresiranom-javnoscu-odluka-o-agrotehnickim-mjerama-mjerama-za-uredivanje-i-odrzavanje-poljoprivrednih-rudina-i-mjerama-zastite-od-pozara-na-podrucju-grada-nova/</w:t>
              </w:r>
            </w:hyperlink>
          </w:p>
          <w:p w14:paraId="156059AF" w14:textId="3F47726A" w:rsidR="0094182C" w:rsidRDefault="0094182C" w:rsidP="0094182C">
            <w:r>
              <w:t>Savjetovanje je provedeno u periodu od</w:t>
            </w:r>
            <w:r w:rsidR="003C0FAC">
              <w:t xml:space="preserve"> 29.04.</w:t>
            </w:r>
            <w:r>
              <w:t xml:space="preserve"> </w:t>
            </w:r>
            <w:r w:rsidR="007D1416">
              <w:t xml:space="preserve">   </w:t>
            </w:r>
            <w:r w:rsidR="006F732B">
              <w:t>202</w:t>
            </w:r>
            <w:r w:rsidR="007D1416">
              <w:t>4</w:t>
            </w:r>
            <w:r w:rsidR="006F732B">
              <w:t>.</w:t>
            </w:r>
            <w:r w:rsidR="003C0FAC">
              <w:t xml:space="preserve"> do 29.05.2024.</w:t>
            </w:r>
          </w:p>
        </w:tc>
      </w:tr>
    </w:tbl>
    <w:p w14:paraId="19785AF3" w14:textId="77777777" w:rsidR="00350837" w:rsidRDefault="00350837"/>
    <w:tbl>
      <w:tblPr>
        <w:tblStyle w:val="Reetkatablice"/>
        <w:tblW w:w="10491" w:type="dxa"/>
        <w:tblInd w:w="-318" w:type="dxa"/>
        <w:tblLayout w:type="fixed"/>
        <w:tblLook w:val="04A0" w:firstRow="1" w:lastRow="0" w:firstColumn="1" w:lastColumn="0" w:noHBand="0" w:noVBand="1"/>
      </w:tblPr>
      <w:tblGrid>
        <w:gridCol w:w="993"/>
        <w:gridCol w:w="1560"/>
        <w:gridCol w:w="1134"/>
        <w:gridCol w:w="2976"/>
        <w:gridCol w:w="3828"/>
      </w:tblGrid>
      <w:tr w:rsidR="00E30C37" w14:paraId="2347BC30" w14:textId="77777777" w:rsidTr="007C404B">
        <w:trPr>
          <w:trHeight w:val="809"/>
        </w:trPr>
        <w:tc>
          <w:tcPr>
            <w:tcW w:w="10491" w:type="dxa"/>
            <w:gridSpan w:val="5"/>
            <w:shd w:val="clear" w:color="auto" w:fill="C6D9F1" w:themeFill="text2" w:themeFillTint="33"/>
          </w:tcPr>
          <w:p w14:paraId="38B03DC2" w14:textId="77777777" w:rsidR="00E30C37" w:rsidRDefault="00E30C37">
            <w:r>
              <w:t>Pregled prihvaćenih i neprihvaćenih mišljenja i prijedloga s obrazloženjem razloga za neprihvaćanje</w:t>
            </w:r>
          </w:p>
          <w:p w14:paraId="7FE585B7" w14:textId="5F142715" w:rsidR="00E30C37" w:rsidRDefault="00E30C37">
            <w:r>
              <w:t>(provedeno savjetovanje nije stvorilo dodatne financijske troškove</w:t>
            </w:r>
            <w:r w:rsidR="009D5492">
              <w:t>)</w:t>
            </w:r>
          </w:p>
        </w:tc>
      </w:tr>
      <w:tr w:rsidR="00180DC6" w14:paraId="12A4FE28" w14:textId="77777777" w:rsidTr="005A021D">
        <w:tc>
          <w:tcPr>
            <w:tcW w:w="993" w:type="dxa"/>
          </w:tcPr>
          <w:p w14:paraId="120B36E9" w14:textId="3CB8F2BD" w:rsidR="00E30C37" w:rsidRDefault="00C725CD" w:rsidP="00E30C37">
            <w:pPr>
              <w:jc w:val="center"/>
            </w:pPr>
            <w:r>
              <w:t>R.br</w:t>
            </w:r>
          </w:p>
        </w:tc>
        <w:tc>
          <w:tcPr>
            <w:tcW w:w="1560" w:type="dxa"/>
          </w:tcPr>
          <w:p w14:paraId="53464855" w14:textId="3BA80874" w:rsidR="00E30C37" w:rsidRDefault="00E30C37">
            <w:r w:rsidRPr="00E30C37">
              <w:t>Naziv dionika (pojedinac, organizacija, institucija)</w:t>
            </w:r>
          </w:p>
        </w:tc>
        <w:tc>
          <w:tcPr>
            <w:tcW w:w="1134" w:type="dxa"/>
          </w:tcPr>
          <w:p w14:paraId="57E5278E" w14:textId="77777777" w:rsidR="00C725CD" w:rsidRDefault="009D5492">
            <w:r>
              <w:t>Članak na koji se odnosi prijedlog/</w:t>
            </w:r>
          </w:p>
          <w:p w14:paraId="4A51CDDA" w14:textId="1E44FE86" w:rsidR="00E30C37" w:rsidRDefault="009D5492">
            <w:r>
              <w:t>primjedba</w:t>
            </w:r>
          </w:p>
        </w:tc>
        <w:tc>
          <w:tcPr>
            <w:tcW w:w="2976" w:type="dxa"/>
          </w:tcPr>
          <w:p w14:paraId="3F531064" w14:textId="23CC588E" w:rsidR="00E30C37" w:rsidRDefault="009D5492">
            <w:r>
              <w:t>Tekst primjedbe/prijedloga</w:t>
            </w:r>
          </w:p>
        </w:tc>
        <w:tc>
          <w:tcPr>
            <w:tcW w:w="3828" w:type="dxa"/>
          </w:tcPr>
          <w:p w14:paraId="70A8B141" w14:textId="48B29AA8" w:rsidR="00E30C37" w:rsidRDefault="009D5492">
            <w:r w:rsidRPr="009D5492">
              <w:t>Prihvaćanje/ neprihvaćanje primjedbe ili prijedloga sa obrazloženjem</w:t>
            </w:r>
          </w:p>
        </w:tc>
      </w:tr>
      <w:tr w:rsidR="00180DC6" w14:paraId="1169925E" w14:textId="77777777" w:rsidTr="005A021D">
        <w:tc>
          <w:tcPr>
            <w:tcW w:w="993" w:type="dxa"/>
          </w:tcPr>
          <w:p w14:paraId="5EB6FB9A" w14:textId="35054297" w:rsidR="00E30C37" w:rsidRDefault="009D5492">
            <w:r>
              <w:t>1.</w:t>
            </w:r>
          </w:p>
        </w:tc>
        <w:tc>
          <w:tcPr>
            <w:tcW w:w="1560" w:type="dxa"/>
          </w:tcPr>
          <w:p w14:paraId="2CDF3031" w14:textId="199EC997" w:rsidR="00E30C37" w:rsidRDefault="009D5492">
            <w:r>
              <w:t>Javna vatrogasna postrojba Nova Gradiška</w:t>
            </w:r>
          </w:p>
        </w:tc>
        <w:tc>
          <w:tcPr>
            <w:tcW w:w="1134" w:type="dxa"/>
          </w:tcPr>
          <w:p w14:paraId="09489B33" w14:textId="3D9BF1CF" w:rsidR="00E30C37" w:rsidRDefault="009B5A31">
            <w:r>
              <w:t>Članak 25.</w:t>
            </w:r>
          </w:p>
        </w:tc>
        <w:tc>
          <w:tcPr>
            <w:tcW w:w="2976" w:type="dxa"/>
          </w:tcPr>
          <w:p w14:paraId="3CB7E9AC" w14:textId="77777777" w:rsidR="00180DC6" w:rsidRDefault="009B5A31">
            <w:r>
              <w:t>Od strane krovne vatrogasne organizacije RH, tj. Hrvatske vatrogasne zajednice (u daljnjem tekstu HVZ) zabrana spaljivanja je od</w:t>
            </w:r>
          </w:p>
          <w:p w14:paraId="460F4E67" w14:textId="77777777" w:rsidR="00E30C37" w:rsidRDefault="009B5A31">
            <w:r>
              <w:t xml:space="preserve"> </w:t>
            </w:r>
            <w:r w:rsidRPr="00180DC6">
              <w:rPr>
                <w:b/>
                <w:bCs/>
              </w:rPr>
              <w:t>01.05.-31.10.</w:t>
            </w:r>
            <w:r>
              <w:t xml:space="preserve"> </w:t>
            </w:r>
          </w:p>
          <w:p w14:paraId="4176AD5F" w14:textId="02893A61" w:rsidR="00623E28" w:rsidRDefault="00623E28">
            <w:r w:rsidRPr="00623E28">
              <w:t xml:space="preserve">Nastavno na navedene mjere, a u razgovoru sa čelnicima HVZ-a </w:t>
            </w:r>
            <w:r w:rsidRPr="00623E28">
              <w:rPr>
                <w:b/>
                <w:bCs/>
              </w:rPr>
              <w:t>ovaj datum varira i to dosta zna varirati zbog klimatskih promjena.</w:t>
            </w:r>
            <w:r w:rsidRPr="00623E28">
              <w:t xml:space="preserve"> Nekada to HVZ zna objaviti da zabrana loženja od 15.04. - 31.10., </w:t>
            </w:r>
            <w:r w:rsidRPr="00623E28">
              <w:lastRenderedPageBreak/>
              <w:t>nekada to zna biti 5 mjesec, a ove godine je to zbog tih klimatskih promjena kiša, vlaga pomjereno na 15.06.2024. - 31.10.2024. godine. </w:t>
            </w:r>
            <w:r w:rsidRPr="00623E28">
              <w:br/>
              <w:t xml:space="preserve">U nacionalnoj strategiji zaštite od požara za interes Republike Hrvatske gradovi donose neke datume, a vatrogasne zajednice sa područja gradova ili dvd-ovi to samo usvoje u svojim dokumentima, </w:t>
            </w:r>
            <w:r w:rsidRPr="00EC5BE7">
              <w:rPr>
                <w:b/>
                <w:bCs/>
              </w:rPr>
              <w:t>a nekakvo rješenje možda da se stavi da se prate odluke HVZ-a</w:t>
            </w:r>
            <w:r w:rsidRPr="00623E28">
              <w:t xml:space="preserve"> (Hrvatske vatrogasne zajednice) premda oni nekada znaju "zablokirati" na vrhu. Tako da je tu teško odrediti nekakav pametan datum</w:t>
            </w:r>
            <w:r w:rsidR="00EC5BE7">
              <w:t>.</w:t>
            </w:r>
          </w:p>
        </w:tc>
        <w:tc>
          <w:tcPr>
            <w:tcW w:w="3828" w:type="dxa"/>
          </w:tcPr>
          <w:p w14:paraId="01FB85EF" w14:textId="12BDE930" w:rsidR="00E30C37" w:rsidRDefault="006A246B">
            <w:r w:rsidRPr="009612A4">
              <w:rPr>
                <w:b/>
                <w:bCs/>
              </w:rPr>
              <w:lastRenderedPageBreak/>
              <w:t>Prihvaća se</w:t>
            </w:r>
            <w:r w:rsidR="009612A4" w:rsidRPr="009612A4">
              <w:rPr>
                <w:b/>
                <w:bCs/>
              </w:rPr>
              <w:t xml:space="preserve"> prijedlog</w:t>
            </w:r>
            <w:r w:rsidR="006A4677">
              <w:rPr>
                <w:b/>
                <w:bCs/>
              </w:rPr>
              <w:t>, budući da je obuhvaćeno Odlukama HVZ-a</w:t>
            </w:r>
            <w:r w:rsidR="006A70E6">
              <w:t>.</w:t>
            </w:r>
          </w:p>
          <w:p w14:paraId="7ED56103" w14:textId="77777777" w:rsidR="00623E28" w:rsidRDefault="00623E28"/>
          <w:p w14:paraId="00E5F80C" w14:textId="568B0214" w:rsidR="00623E28" w:rsidRDefault="00623E28"/>
        </w:tc>
      </w:tr>
      <w:tr w:rsidR="00180DC6" w14:paraId="1A9EB2D9" w14:textId="77777777" w:rsidTr="005A021D">
        <w:tc>
          <w:tcPr>
            <w:tcW w:w="993" w:type="dxa"/>
          </w:tcPr>
          <w:p w14:paraId="1A20E7DC" w14:textId="78C2E7B5" w:rsidR="00E30C37" w:rsidRDefault="009D5492">
            <w:r>
              <w:t>2.</w:t>
            </w:r>
          </w:p>
        </w:tc>
        <w:tc>
          <w:tcPr>
            <w:tcW w:w="1560" w:type="dxa"/>
          </w:tcPr>
          <w:p w14:paraId="65D41719" w14:textId="1A74B422" w:rsidR="00E30C37" w:rsidRDefault="00180DC6">
            <w:r>
              <w:t>Javna vatrogasna postrojba Nova Gradiška</w:t>
            </w:r>
          </w:p>
          <w:p w14:paraId="7B6B9B61" w14:textId="77777777" w:rsidR="000309EF" w:rsidRDefault="000309EF"/>
        </w:tc>
        <w:tc>
          <w:tcPr>
            <w:tcW w:w="1134" w:type="dxa"/>
          </w:tcPr>
          <w:p w14:paraId="6A34C020" w14:textId="2E81F02D" w:rsidR="00E30C37" w:rsidRDefault="00180DC6">
            <w:r>
              <w:t>Članak 25.</w:t>
            </w:r>
          </w:p>
        </w:tc>
        <w:tc>
          <w:tcPr>
            <w:tcW w:w="2976" w:type="dxa"/>
          </w:tcPr>
          <w:p w14:paraId="0451CCB3" w14:textId="7305FAF9" w:rsidR="00180DC6" w:rsidRPr="00180DC6" w:rsidRDefault="00180DC6" w:rsidP="00180DC6">
            <w:pPr>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T</w:t>
            </w:r>
            <w:r w:rsidRPr="00180DC6">
              <w:rPr>
                <w:rFonts w:ascii="Times New Roman" w:eastAsia="Times New Roman" w:hAnsi="Times New Roman" w:cs="Times New Roman"/>
                <w:sz w:val="24"/>
                <w:szCs w:val="24"/>
                <w:lang w:val="de-AT" w:eastAsia="de-AT"/>
              </w:rPr>
              <w:t>otalna je zabrana spaljivanja</w:t>
            </w:r>
            <w:r>
              <w:rPr>
                <w:rFonts w:ascii="Times New Roman" w:eastAsia="Times New Roman" w:hAnsi="Times New Roman" w:cs="Times New Roman"/>
                <w:sz w:val="24"/>
                <w:szCs w:val="24"/>
                <w:lang w:val="de-AT" w:eastAsia="de-AT"/>
              </w:rPr>
              <w:t xml:space="preserve"> od strane HVZ-a</w:t>
            </w:r>
            <w:r w:rsidRPr="00180DC6">
              <w:rPr>
                <w:rFonts w:ascii="Times New Roman" w:eastAsia="Times New Roman" w:hAnsi="Times New Roman" w:cs="Times New Roman"/>
                <w:sz w:val="24"/>
                <w:szCs w:val="24"/>
                <w:lang w:val="de-AT" w:eastAsia="de-AT"/>
              </w:rPr>
              <w:t xml:space="preserve">. To znači da u tom članku treba ostati da je zabranjeno spaljivanje korova i loženja vatre na otvorenom prostoru u periodu od 1. </w:t>
            </w:r>
            <w:r>
              <w:rPr>
                <w:rFonts w:ascii="Times New Roman" w:eastAsia="Times New Roman" w:hAnsi="Times New Roman" w:cs="Times New Roman"/>
                <w:sz w:val="24"/>
                <w:szCs w:val="24"/>
                <w:lang w:val="de-AT" w:eastAsia="de-AT"/>
              </w:rPr>
              <w:t>svibnja</w:t>
            </w:r>
            <w:r w:rsidRPr="00180DC6">
              <w:rPr>
                <w:rFonts w:ascii="Times New Roman" w:eastAsia="Times New Roman" w:hAnsi="Times New Roman" w:cs="Times New Roman"/>
                <w:sz w:val="24"/>
                <w:szCs w:val="24"/>
                <w:lang w:val="de-AT" w:eastAsia="de-AT"/>
              </w:rPr>
              <w:t xml:space="preserve"> do 31. Listopada. </w:t>
            </w:r>
          </w:p>
          <w:p w14:paraId="5126A640" w14:textId="77777777" w:rsidR="00180DC6" w:rsidRPr="00180DC6" w:rsidRDefault="00180DC6" w:rsidP="00180DC6">
            <w:pPr>
              <w:rPr>
                <w:rFonts w:ascii="Times New Roman" w:eastAsia="Times New Roman" w:hAnsi="Times New Roman" w:cs="Times New Roman"/>
                <w:sz w:val="24"/>
                <w:szCs w:val="24"/>
                <w:lang w:val="de-AT" w:eastAsia="de-AT"/>
              </w:rPr>
            </w:pPr>
            <w:r w:rsidRPr="00180DC6">
              <w:rPr>
                <w:rFonts w:ascii="Times New Roman" w:eastAsia="Times New Roman" w:hAnsi="Times New Roman" w:cs="Times New Roman"/>
                <w:sz w:val="24"/>
                <w:szCs w:val="24"/>
                <w:lang w:val="de-AT" w:eastAsia="de-AT"/>
              </w:rPr>
              <w:t>Kada je totalna zabrana onda ovo za vrijeme olujnog nevremena, noću, te organiziranje vatrogasne postrojbe za dežurstvo nisu potrebni.</w:t>
            </w:r>
          </w:p>
          <w:p w14:paraId="52C4BA11" w14:textId="77777777" w:rsidR="00180DC6" w:rsidRPr="00180DC6" w:rsidRDefault="00180DC6" w:rsidP="00180DC6">
            <w:pPr>
              <w:rPr>
                <w:rFonts w:ascii="Times New Roman" w:eastAsia="Times New Roman" w:hAnsi="Times New Roman" w:cs="Times New Roman"/>
                <w:sz w:val="24"/>
                <w:szCs w:val="24"/>
                <w:lang w:val="de-AT" w:eastAsia="de-AT"/>
              </w:rPr>
            </w:pPr>
          </w:p>
          <w:p w14:paraId="60230FB1" w14:textId="7D542162" w:rsidR="00180DC6" w:rsidRPr="00180DC6" w:rsidRDefault="00180DC6" w:rsidP="00180DC6">
            <w:pPr>
              <w:rPr>
                <w:rFonts w:ascii="Times New Roman" w:eastAsia="Times New Roman" w:hAnsi="Times New Roman" w:cs="Times New Roman"/>
                <w:i/>
                <w:iCs/>
                <w:sz w:val="24"/>
                <w:szCs w:val="24"/>
                <w:lang w:val="de-AT" w:eastAsia="de-AT"/>
              </w:rPr>
            </w:pPr>
            <w:r w:rsidRPr="00180DC6">
              <w:rPr>
                <w:rFonts w:ascii="Times New Roman" w:eastAsia="Times New Roman" w:hAnsi="Times New Roman" w:cs="Times New Roman"/>
                <w:i/>
                <w:iCs/>
                <w:sz w:val="24"/>
                <w:szCs w:val="24"/>
                <w:lang w:val="de-AT" w:eastAsia="de-AT"/>
              </w:rPr>
              <w:t>Jer</w:t>
            </w:r>
            <w:r>
              <w:rPr>
                <w:rFonts w:ascii="Times New Roman" w:eastAsia="Times New Roman" w:hAnsi="Times New Roman" w:cs="Times New Roman"/>
                <w:i/>
                <w:iCs/>
                <w:sz w:val="24"/>
                <w:szCs w:val="24"/>
                <w:lang w:val="de-AT" w:eastAsia="de-AT"/>
              </w:rPr>
              <w:t xml:space="preserve"> </w:t>
            </w:r>
            <w:r w:rsidRPr="00180DC6">
              <w:rPr>
                <w:rFonts w:ascii="Times New Roman" w:eastAsia="Times New Roman" w:hAnsi="Times New Roman" w:cs="Times New Roman"/>
                <w:i/>
                <w:iCs/>
                <w:sz w:val="24"/>
                <w:szCs w:val="24"/>
                <w:lang w:val="de-AT" w:eastAsia="de-AT"/>
              </w:rPr>
              <w:t>u tom periodu kada je totalna zabrana nećemo (čitati ne smijemo) izdati nikakvu suglasnost zbog odluke HVZ</w:t>
            </w:r>
            <w:r>
              <w:rPr>
                <w:rFonts w:ascii="Times New Roman" w:eastAsia="Times New Roman" w:hAnsi="Times New Roman" w:cs="Times New Roman"/>
                <w:i/>
                <w:iCs/>
                <w:sz w:val="24"/>
                <w:szCs w:val="24"/>
                <w:lang w:val="de-AT" w:eastAsia="de-AT"/>
              </w:rPr>
              <w:t>-a,</w:t>
            </w:r>
            <w:r w:rsidRPr="00180DC6">
              <w:rPr>
                <w:rFonts w:ascii="Times New Roman" w:eastAsia="Times New Roman" w:hAnsi="Times New Roman" w:cs="Times New Roman"/>
                <w:i/>
                <w:iCs/>
                <w:sz w:val="24"/>
                <w:szCs w:val="24"/>
                <w:lang w:val="de-AT" w:eastAsia="de-AT"/>
              </w:rPr>
              <w:t xml:space="preserve"> niti </w:t>
            </w:r>
            <w:r>
              <w:rPr>
                <w:rFonts w:ascii="Times New Roman" w:eastAsia="Times New Roman" w:hAnsi="Times New Roman" w:cs="Times New Roman"/>
                <w:i/>
                <w:iCs/>
                <w:sz w:val="24"/>
                <w:szCs w:val="24"/>
                <w:lang w:val="de-AT" w:eastAsia="de-AT"/>
              </w:rPr>
              <w:t>je dozvoljeno</w:t>
            </w:r>
            <w:r w:rsidRPr="00180DC6">
              <w:rPr>
                <w:rFonts w:ascii="Times New Roman" w:eastAsia="Times New Roman" w:hAnsi="Times New Roman" w:cs="Times New Roman"/>
                <w:i/>
                <w:iCs/>
                <w:sz w:val="24"/>
                <w:szCs w:val="24"/>
                <w:lang w:val="de-AT" w:eastAsia="de-AT"/>
              </w:rPr>
              <w:t xml:space="preserve"> odrađivati dežurstvo kod spaljivanja jer je totalna zabrana.</w:t>
            </w:r>
          </w:p>
          <w:p w14:paraId="04BB72CE" w14:textId="77777777" w:rsidR="00E30C37" w:rsidRDefault="00E30C37"/>
        </w:tc>
        <w:tc>
          <w:tcPr>
            <w:tcW w:w="3828" w:type="dxa"/>
          </w:tcPr>
          <w:p w14:paraId="263000E2" w14:textId="0A10AD1F" w:rsidR="00E30C37" w:rsidRPr="009612A4" w:rsidRDefault="006A246B">
            <w:pPr>
              <w:rPr>
                <w:b/>
                <w:bCs/>
              </w:rPr>
            </w:pPr>
            <w:r w:rsidRPr="009612A4">
              <w:rPr>
                <w:b/>
                <w:bCs/>
              </w:rPr>
              <w:t>Prihvaća se</w:t>
            </w:r>
            <w:r w:rsidR="009612A4">
              <w:rPr>
                <w:b/>
                <w:bCs/>
              </w:rPr>
              <w:t xml:space="preserve"> prijedlog</w:t>
            </w:r>
            <w:r w:rsidR="006A4677">
              <w:rPr>
                <w:b/>
                <w:bCs/>
              </w:rPr>
              <w:t>, budući da je obuhvaćeno Odlukama HVZ-a</w:t>
            </w:r>
            <w:r w:rsidR="006A70E6">
              <w:rPr>
                <w:b/>
                <w:bCs/>
              </w:rPr>
              <w:t>.</w:t>
            </w:r>
          </w:p>
        </w:tc>
      </w:tr>
      <w:tr w:rsidR="00180DC6" w14:paraId="2578C448" w14:textId="77777777" w:rsidTr="005A021D">
        <w:tc>
          <w:tcPr>
            <w:tcW w:w="993" w:type="dxa"/>
          </w:tcPr>
          <w:p w14:paraId="7C220879" w14:textId="77777777" w:rsidR="00E30C37" w:rsidRDefault="00E30C37"/>
          <w:p w14:paraId="553FF304" w14:textId="3B8F4B03" w:rsidR="009D5492" w:rsidRDefault="009D5492">
            <w:r>
              <w:t>3.</w:t>
            </w:r>
          </w:p>
        </w:tc>
        <w:tc>
          <w:tcPr>
            <w:tcW w:w="1560" w:type="dxa"/>
          </w:tcPr>
          <w:p w14:paraId="13EA1A25" w14:textId="77777777" w:rsidR="006514FD" w:rsidRPr="006514FD" w:rsidRDefault="006514FD" w:rsidP="006514FD">
            <w:r w:rsidRPr="006514FD">
              <w:t>Javna vatrogasna postrojba Nova Gradiška</w:t>
            </w:r>
          </w:p>
          <w:p w14:paraId="115AC589" w14:textId="7A60EE4E" w:rsidR="00E30C37" w:rsidRDefault="00E30C37"/>
        </w:tc>
        <w:tc>
          <w:tcPr>
            <w:tcW w:w="1134" w:type="dxa"/>
          </w:tcPr>
          <w:p w14:paraId="6258CD84" w14:textId="57BF5064" w:rsidR="00E30C37" w:rsidRDefault="006514FD">
            <w:r>
              <w:t>Članak 25.</w:t>
            </w:r>
          </w:p>
        </w:tc>
        <w:tc>
          <w:tcPr>
            <w:tcW w:w="2976" w:type="dxa"/>
          </w:tcPr>
          <w:p w14:paraId="41AA98AF" w14:textId="55AD0013" w:rsidR="006514FD" w:rsidRPr="006514FD" w:rsidRDefault="006514FD" w:rsidP="006514FD">
            <w:pPr>
              <w:rPr>
                <w:lang w:val="de-AT"/>
              </w:rPr>
            </w:pPr>
            <w:r>
              <w:rPr>
                <w:lang w:val="de-AT"/>
              </w:rPr>
              <w:t>S</w:t>
            </w:r>
            <w:r w:rsidRPr="006514FD">
              <w:rPr>
                <w:lang w:val="de-AT"/>
              </w:rPr>
              <w:t xml:space="preserve">ukladno članku 61. </w:t>
            </w:r>
            <w:r>
              <w:rPr>
                <w:lang w:val="de-AT"/>
              </w:rPr>
              <w:t>st</w:t>
            </w:r>
            <w:r w:rsidRPr="006514FD">
              <w:rPr>
                <w:lang w:val="de-AT"/>
              </w:rPr>
              <w:t>.1 Zakonu o zaštiti od požara NN92/10 i NN114/22</w:t>
            </w:r>
            <w:r>
              <w:rPr>
                <w:lang w:val="de-AT"/>
              </w:rPr>
              <w:t>, kaznit će se</w:t>
            </w:r>
            <w:r w:rsidRPr="006514FD">
              <w:rPr>
                <w:lang w:val="de-AT"/>
              </w:rPr>
              <w:t xml:space="preserve"> novčanom kaznom u iznosu od 1.990,00 eura - 19.900,00 eura u slučaju namjernog podmetanja </w:t>
            </w:r>
            <w:r w:rsidRPr="006514FD">
              <w:rPr>
                <w:lang w:val="de-AT"/>
              </w:rPr>
              <w:lastRenderedPageBreak/>
              <w:t>požara za fizičku osobu, a iz nehaja kazniti će se novčanom kaznom u iznosu od 260,00 eura - 1.990,00 eura također fizička osoba </w:t>
            </w:r>
          </w:p>
          <w:p w14:paraId="48B041F9" w14:textId="77777777" w:rsidR="006514FD" w:rsidRPr="006514FD" w:rsidRDefault="006514FD" w:rsidP="006514FD">
            <w:pPr>
              <w:rPr>
                <w:lang w:val="de-AT"/>
              </w:rPr>
            </w:pPr>
          </w:p>
          <w:p w14:paraId="2CDFC37A" w14:textId="4FA7AA91" w:rsidR="006514FD" w:rsidRPr="006514FD" w:rsidRDefault="006514FD" w:rsidP="006514FD">
            <w:pPr>
              <w:rPr>
                <w:lang w:val="de-AT"/>
              </w:rPr>
            </w:pPr>
            <w:r w:rsidRPr="006514FD">
              <w:rPr>
                <w:lang w:val="de-AT"/>
              </w:rPr>
              <w:t xml:space="preserve">Sukladno istom Zakonu o zaštiti od požara  iz članka 61. </w:t>
            </w:r>
            <w:r>
              <w:rPr>
                <w:lang w:val="de-AT"/>
              </w:rPr>
              <w:t>st</w:t>
            </w:r>
            <w:r w:rsidRPr="006514FD">
              <w:rPr>
                <w:lang w:val="de-AT"/>
              </w:rPr>
              <w:t>.2 kazniti će se i prav</w:t>
            </w:r>
            <w:r>
              <w:rPr>
                <w:lang w:val="de-AT"/>
              </w:rPr>
              <w:t>n</w:t>
            </w:r>
            <w:r w:rsidRPr="006514FD">
              <w:rPr>
                <w:lang w:val="de-AT"/>
              </w:rPr>
              <w:t>a osoba koja propustom izazove požar kaznom od 1.990,00 eura - 19.900,00 eura.</w:t>
            </w:r>
          </w:p>
          <w:p w14:paraId="1F5AE6E1" w14:textId="77777777" w:rsidR="006514FD" w:rsidRPr="006514FD" w:rsidRDefault="006514FD" w:rsidP="006514FD">
            <w:pPr>
              <w:rPr>
                <w:lang w:val="de-AT"/>
              </w:rPr>
            </w:pPr>
          </w:p>
          <w:p w14:paraId="7D580B1E" w14:textId="30BF13BD" w:rsidR="006514FD" w:rsidRPr="006514FD" w:rsidRDefault="006514FD" w:rsidP="006514FD">
            <w:pPr>
              <w:rPr>
                <w:lang w:val="de-AT"/>
              </w:rPr>
            </w:pPr>
            <w:r w:rsidRPr="006514FD">
              <w:rPr>
                <w:lang w:val="de-AT"/>
              </w:rPr>
              <w:t xml:space="preserve">Također u članku 61. </w:t>
            </w:r>
            <w:r>
              <w:rPr>
                <w:lang w:val="de-AT"/>
              </w:rPr>
              <w:t>st</w:t>
            </w:r>
            <w:r w:rsidRPr="006514FD">
              <w:rPr>
                <w:lang w:val="de-AT"/>
              </w:rPr>
              <w:t>.3 odgovorna osoba u pravnoj osobi će se ako isto propustom izazove požar u iznosu od 260,00 eura - 1.990,00 eura</w:t>
            </w:r>
          </w:p>
          <w:p w14:paraId="03D13C5D" w14:textId="77777777" w:rsidR="00E30C37" w:rsidRDefault="00E30C37"/>
        </w:tc>
        <w:tc>
          <w:tcPr>
            <w:tcW w:w="3828" w:type="dxa"/>
          </w:tcPr>
          <w:p w14:paraId="3FA17C0E" w14:textId="37096D8F" w:rsidR="006A4677" w:rsidRPr="006A4677" w:rsidRDefault="006A4677" w:rsidP="006A4677">
            <w:r w:rsidRPr="006A4677">
              <w:rPr>
                <w:b/>
                <w:bCs/>
              </w:rPr>
              <w:lastRenderedPageBreak/>
              <w:t xml:space="preserve">Ne prihvaća se prijedlog, predmetna Odluka je u skladu s propisanom </w:t>
            </w:r>
            <w:r w:rsidR="00682A31">
              <w:rPr>
                <w:b/>
                <w:bCs/>
              </w:rPr>
              <w:t>z</w:t>
            </w:r>
            <w:r w:rsidRPr="006A4677">
              <w:rPr>
                <w:b/>
                <w:bCs/>
              </w:rPr>
              <w:t>akonskom regulativom.</w:t>
            </w:r>
          </w:p>
          <w:p w14:paraId="0D05757C" w14:textId="65606F7A" w:rsidR="00E30C37" w:rsidRDefault="00E30C37"/>
        </w:tc>
      </w:tr>
      <w:tr w:rsidR="009D5492" w14:paraId="5245E94E" w14:textId="77777777" w:rsidTr="005A021D">
        <w:tc>
          <w:tcPr>
            <w:tcW w:w="993" w:type="dxa"/>
          </w:tcPr>
          <w:p w14:paraId="59D2FF86" w14:textId="1BB87EAE" w:rsidR="009D5492" w:rsidRDefault="006514FD">
            <w:r>
              <w:t>4.</w:t>
            </w:r>
          </w:p>
        </w:tc>
        <w:tc>
          <w:tcPr>
            <w:tcW w:w="1560" w:type="dxa"/>
          </w:tcPr>
          <w:p w14:paraId="0EA1A262" w14:textId="7503E5A0" w:rsidR="009D5492" w:rsidRDefault="006514FD">
            <w:r>
              <w:t>Javna vatrogasna postrojba</w:t>
            </w:r>
          </w:p>
        </w:tc>
        <w:tc>
          <w:tcPr>
            <w:tcW w:w="1134" w:type="dxa"/>
          </w:tcPr>
          <w:p w14:paraId="69DF2FE3" w14:textId="694839D1" w:rsidR="009D5492" w:rsidRDefault="006514FD">
            <w:r>
              <w:t>Članak 25.</w:t>
            </w:r>
          </w:p>
        </w:tc>
        <w:tc>
          <w:tcPr>
            <w:tcW w:w="2976" w:type="dxa"/>
          </w:tcPr>
          <w:p w14:paraId="0C7B4D26" w14:textId="77777777" w:rsidR="006514FD" w:rsidRPr="006514FD" w:rsidRDefault="006514FD" w:rsidP="006514FD">
            <w:pPr>
              <w:rPr>
                <w:lang w:val="de-AT"/>
              </w:rPr>
            </w:pPr>
            <w:r w:rsidRPr="006514FD">
              <w:rPr>
                <w:lang w:val="de-AT"/>
              </w:rPr>
              <w:t xml:space="preserve">Iznimno, u razdoblju iz članka 25. ove odluke, na pisani zahtjev pravne ili fizičke osobe, Javna vatrogasna postrojba Nova Gradiška može odobriti loženje vatre na otvorenom prostoru, </w:t>
            </w:r>
            <w:r w:rsidRPr="006514FD">
              <w:rPr>
                <w:b/>
                <w:bCs/>
                <w:i/>
                <w:iCs/>
                <w:lang w:val="de-AT"/>
              </w:rPr>
              <w:t>uz uvjet organiziranja vatrogasnog dežurstva</w:t>
            </w:r>
            <w:r w:rsidRPr="006514FD">
              <w:rPr>
                <w:lang w:val="de-AT"/>
              </w:rPr>
              <w:t xml:space="preserve"> </w:t>
            </w:r>
            <w:r w:rsidRPr="006514FD">
              <w:rPr>
                <w:b/>
                <w:bCs/>
                <w:i/>
                <w:iCs/>
                <w:lang w:val="de-AT"/>
              </w:rPr>
              <w:t>i poduzimanje preventivnih mjera zaštite od požara</w:t>
            </w:r>
            <w:r w:rsidRPr="006514FD">
              <w:rPr>
                <w:lang w:val="de-AT"/>
              </w:rPr>
              <w:t xml:space="preserve"> iz članka 24. ove odluke.</w:t>
            </w:r>
          </w:p>
          <w:p w14:paraId="714B5AD5" w14:textId="77777777" w:rsidR="006514FD" w:rsidRPr="006514FD" w:rsidRDefault="006514FD" w:rsidP="006514FD">
            <w:pPr>
              <w:rPr>
                <w:lang w:val="de-AT"/>
              </w:rPr>
            </w:pPr>
            <w:r w:rsidRPr="006514FD">
              <w:rPr>
                <w:b/>
                <w:bCs/>
                <w:i/>
                <w:iCs/>
                <w:lang w:val="de-AT"/>
              </w:rPr>
              <w:t>Zahtjev</w:t>
            </w:r>
            <w:r w:rsidRPr="006514FD">
              <w:rPr>
                <w:lang w:val="de-AT"/>
              </w:rPr>
              <w:t xml:space="preserve"> iz stavka 1. ovog članka podnosi se najkasnije 24 sata prije planiranog loženja vatre na otvorenom prostoru.</w:t>
            </w:r>
          </w:p>
          <w:p w14:paraId="72E887C6" w14:textId="77777777" w:rsidR="006514FD" w:rsidRPr="006514FD" w:rsidRDefault="006514FD" w:rsidP="006514FD">
            <w:pPr>
              <w:rPr>
                <w:lang w:val="de-AT"/>
              </w:rPr>
            </w:pPr>
            <w:r w:rsidRPr="006514FD">
              <w:rPr>
                <w:lang w:val="de-AT"/>
              </w:rPr>
              <w:t>U zahtjevu iz stavka 1. ovog članka potrebno je navesti mjesto loženja vatre, naziv dobrovoljnog vatrogasnog društva koje će dežurati te popis planiranih preventivnih mjera zaštite od požara iz članka 24. ove odluke.</w:t>
            </w:r>
          </w:p>
          <w:p w14:paraId="5DADB46F" w14:textId="77777777" w:rsidR="006514FD" w:rsidRPr="006514FD" w:rsidRDefault="006514FD" w:rsidP="006514FD">
            <w:pPr>
              <w:rPr>
                <w:lang w:val="de-AT"/>
              </w:rPr>
            </w:pPr>
            <w:r w:rsidRPr="006514FD">
              <w:rPr>
                <w:lang w:val="de-AT"/>
              </w:rPr>
              <w:t>Zahtjev se može predati neposredno, poštom i elektroničkom poštom.</w:t>
            </w:r>
          </w:p>
          <w:p w14:paraId="6BEFE9C0" w14:textId="4839744B" w:rsidR="006514FD" w:rsidRPr="006514FD" w:rsidRDefault="006514FD" w:rsidP="006514FD">
            <w:pPr>
              <w:rPr>
                <w:lang w:val="de-AT"/>
              </w:rPr>
            </w:pPr>
            <w:r w:rsidRPr="006514FD">
              <w:rPr>
                <w:b/>
                <w:bCs/>
                <w:i/>
                <w:iCs/>
                <w:lang w:val="de-AT"/>
              </w:rPr>
              <w:t xml:space="preserve">Troškove vatrogasnog dežurstva snosi pravna odnosno fizička osoba na čiji je zahtjev organizirano </w:t>
            </w:r>
            <w:r w:rsidRPr="006514FD">
              <w:rPr>
                <w:b/>
                <w:bCs/>
                <w:i/>
                <w:iCs/>
                <w:lang w:val="de-AT"/>
              </w:rPr>
              <w:lastRenderedPageBreak/>
              <w:t>vatrogasno dežurstvo</w:t>
            </w:r>
            <w:r w:rsidRPr="006514FD">
              <w:rPr>
                <w:lang w:val="de-AT"/>
              </w:rPr>
              <w:t>, a prema važećem Cjeniku vatrogasnih intervencija. ( Cjenik vatrogasnih intervencija NN 74/2021</w:t>
            </w:r>
            <w:r w:rsidR="00095898">
              <w:rPr>
                <w:lang w:val="de-AT"/>
              </w:rPr>
              <w:t xml:space="preserve">, </w:t>
            </w:r>
            <w:r w:rsidRPr="006514FD">
              <w:rPr>
                <w:lang w:val="de-AT"/>
              </w:rPr>
              <w:t>Izmjen</w:t>
            </w:r>
            <w:r w:rsidR="00095898">
              <w:rPr>
                <w:lang w:val="de-AT"/>
              </w:rPr>
              <w:t>e</w:t>
            </w:r>
            <w:r w:rsidRPr="006514FD">
              <w:rPr>
                <w:lang w:val="de-AT"/>
              </w:rPr>
              <w:t xml:space="preserve"> cjenika vatrogasnih intervencija NN 156/2022.)</w:t>
            </w:r>
          </w:p>
          <w:p w14:paraId="6DE76C60" w14:textId="77777777" w:rsidR="006514FD" w:rsidRPr="006514FD" w:rsidRDefault="006514FD" w:rsidP="006514FD">
            <w:pPr>
              <w:rPr>
                <w:lang w:val="de-AT"/>
              </w:rPr>
            </w:pPr>
          </w:p>
          <w:p w14:paraId="62358201" w14:textId="77777777" w:rsidR="006514FD" w:rsidRPr="006514FD" w:rsidRDefault="006514FD" w:rsidP="006514FD">
            <w:pPr>
              <w:rPr>
                <w:lang w:val="de-AT"/>
              </w:rPr>
            </w:pPr>
            <w:r w:rsidRPr="006514FD">
              <w:rPr>
                <w:lang w:val="de-AT"/>
              </w:rPr>
              <w:t xml:space="preserve">Naplata se uvodi zbog samog osnivača u ovom slučaju Grada Nove Gradiške, kako bi se </w:t>
            </w:r>
            <w:r w:rsidRPr="006514FD">
              <w:rPr>
                <w:b/>
                <w:bCs/>
                <w:i/>
                <w:iCs/>
                <w:lang w:val="de-AT"/>
              </w:rPr>
              <w:t>opravdala sredstva</w:t>
            </w:r>
            <w:r w:rsidRPr="006514FD">
              <w:rPr>
                <w:lang w:val="de-AT"/>
              </w:rPr>
              <w:t xml:space="preserve"> koja su javno dobro, odnosno opravdali nastali troškovi na samom dežurstvu. </w:t>
            </w:r>
          </w:p>
          <w:p w14:paraId="39C94631" w14:textId="77777777" w:rsidR="006514FD" w:rsidRPr="006514FD" w:rsidRDefault="006514FD" w:rsidP="006514FD">
            <w:pPr>
              <w:rPr>
                <w:lang w:val="de-AT"/>
              </w:rPr>
            </w:pPr>
          </w:p>
          <w:p w14:paraId="799699DE" w14:textId="77777777" w:rsidR="006514FD" w:rsidRPr="006514FD" w:rsidRDefault="006514FD" w:rsidP="006514FD">
            <w:pPr>
              <w:rPr>
                <w:lang w:val="de-AT"/>
              </w:rPr>
            </w:pPr>
            <w:r w:rsidRPr="006514FD">
              <w:rPr>
                <w:lang w:val="de-AT"/>
              </w:rPr>
              <w:t>Prilog Odluci neka bude obrazac koji je u ovom prilogu. </w:t>
            </w:r>
          </w:p>
          <w:p w14:paraId="323D10B3" w14:textId="77777777" w:rsidR="009D5492" w:rsidRDefault="009D5492"/>
        </w:tc>
        <w:tc>
          <w:tcPr>
            <w:tcW w:w="3828" w:type="dxa"/>
          </w:tcPr>
          <w:p w14:paraId="3120167E" w14:textId="39173B7B" w:rsidR="009D5492" w:rsidRDefault="006A246B">
            <w:r w:rsidRPr="009612A4">
              <w:rPr>
                <w:b/>
                <w:bCs/>
              </w:rPr>
              <w:lastRenderedPageBreak/>
              <w:t>Ne prihvaća se</w:t>
            </w:r>
            <w:r w:rsidR="006514FD">
              <w:t>,</w:t>
            </w:r>
            <w:r w:rsidR="009612A4">
              <w:t xml:space="preserve"> JVP</w:t>
            </w:r>
            <w:r w:rsidR="006514FD">
              <w:t xml:space="preserve"> dežurstva</w:t>
            </w:r>
            <w:r>
              <w:t xml:space="preserve"> u svom radu regulira</w:t>
            </w:r>
            <w:r w:rsidR="006514FD">
              <w:t xml:space="preserve"> </w:t>
            </w:r>
            <w:r w:rsidR="006A4677">
              <w:t>neovisno o Odluci</w:t>
            </w:r>
            <w:r w:rsidR="004A37EE">
              <w:t>.</w:t>
            </w:r>
          </w:p>
          <w:p w14:paraId="6595A3B8" w14:textId="77777777" w:rsidR="009F6EB4" w:rsidRDefault="009F6EB4"/>
          <w:p w14:paraId="6BB678D1" w14:textId="31FB447A" w:rsidR="00095898" w:rsidRDefault="00095898"/>
        </w:tc>
      </w:tr>
      <w:tr w:rsidR="00095898" w14:paraId="35933E36" w14:textId="77777777" w:rsidTr="005A021D">
        <w:tc>
          <w:tcPr>
            <w:tcW w:w="993" w:type="dxa"/>
          </w:tcPr>
          <w:p w14:paraId="220269B5" w14:textId="50650764" w:rsidR="00095898" w:rsidRDefault="00B1528C">
            <w:r>
              <w:t>5.</w:t>
            </w:r>
          </w:p>
        </w:tc>
        <w:tc>
          <w:tcPr>
            <w:tcW w:w="1560" w:type="dxa"/>
          </w:tcPr>
          <w:p w14:paraId="519DFBC0" w14:textId="51F0CCDE" w:rsidR="00095898" w:rsidRDefault="00B1528C">
            <w:r>
              <w:t>Ivan Žeruk</w:t>
            </w:r>
            <w:r w:rsidR="00E91209">
              <w:t xml:space="preserve"> dip.ing.građ.</w:t>
            </w:r>
          </w:p>
        </w:tc>
        <w:tc>
          <w:tcPr>
            <w:tcW w:w="1134" w:type="dxa"/>
          </w:tcPr>
          <w:p w14:paraId="34CFDB07" w14:textId="39CA35B1" w:rsidR="00095898" w:rsidRDefault="00B1528C">
            <w:r>
              <w:t>Članak 1.</w:t>
            </w:r>
          </w:p>
        </w:tc>
        <w:tc>
          <w:tcPr>
            <w:tcW w:w="2976" w:type="dxa"/>
          </w:tcPr>
          <w:p w14:paraId="25127310" w14:textId="3A5E56C5" w:rsidR="00095898" w:rsidRPr="00B1528C" w:rsidRDefault="00B1528C" w:rsidP="006514FD">
            <w:r w:rsidRPr="00B1528C">
              <w:t xml:space="preserve">Potrebno je proširiti </w:t>
            </w:r>
            <w:r w:rsidRPr="00250051">
              <w:rPr>
                <w:b/>
                <w:bCs/>
              </w:rPr>
              <w:t>opseg primjene</w:t>
            </w:r>
            <w:r w:rsidRPr="00B1528C">
              <w:t xml:space="preserve"> i na terene s nagibom u svrhu osiguranja terena od nastanka klizišta. U GUP-u Nova Gradiška (čl.72., Glava 10. - Mjere sprječavanja nepovoljna utjecaja na okoliš) određene su 4 kategorije tla od kojih se Kategorija II odnosi na uvjetno stabilne padine, Kategorija III – uvjetno nestabilne padine  i Kategorija IV – nestabilne padine.</w:t>
            </w:r>
          </w:p>
        </w:tc>
        <w:tc>
          <w:tcPr>
            <w:tcW w:w="3828" w:type="dxa"/>
          </w:tcPr>
          <w:p w14:paraId="4FD4E648" w14:textId="631E82FB" w:rsidR="00095898" w:rsidRDefault="004A37EE">
            <w:r w:rsidRPr="009612A4">
              <w:rPr>
                <w:b/>
                <w:bCs/>
              </w:rPr>
              <w:t>Ne prihvaća se</w:t>
            </w:r>
            <w:r w:rsidRPr="009612A4">
              <w:t>,</w:t>
            </w:r>
            <w:r>
              <w:t xml:space="preserve"> predmetni problem uređuje se prostorno-planskom dokumentacijom i nije sastavni dio ove Odluke. Odlukom o agrotehničkim mjerama su definirane radnje koje se odnose na površinsku eroziju tla.</w:t>
            </w:r>
          </w:p>
        </w:tc>
      </w:tr>
      <w:tr w:rsidR="00095898" w14:paraId="0552CA07" w14:textId="77777777" w:rsidTr="005A021D">
        <w:tc>
          <w:tcPr>
            <w:tcW w:w="993" w:type="dxa"/>
          </w:tcPr>
          <w:p w14:paraId="2971DA90" w14:textId="044F01D9" w:rsidR="00095898" w:rsidRDefault="00B1528C">
            <w:r>
              <w:t>6.</w:t>
            </w:r>
          </w:p>
        </w:tc>
        <w:tc>
          <w:tcPr>
            <w:tcW w:w="1560" w:type="dxa"/>
          </w:tcPr>
          <w:p w14:paraId="0FDA7F90" w14:textId="68D68607" w:rsidR="00E91209" w:rsidRDefault="00E91209">
            <w:r w:rsidRPr="00E91209">
              <w:t>Ivan Žeruk dip.ing.građ</w:t>
            </w:r>
          </w:p>
        </w:tc>
        <w:tc>
          <w:tcPr>
            <w:tcW w:w="1134" w:type="dxa"/>
          </w:tcPr>
          <w:p w14:paraId="4C5C6219" w14:textId="156E9767" w:rsidR="00095898" w:rsidRDefault="008F085E">
            <w:r>
              <w:t>Članak 2.</w:t>
            </w:r>
          </w:p>
        </w:tc>
        <w:tc>
          <w:tcPr>
            <w:tcW w:w="2976" w:type="dxa"/>
          </w:tcPr>
          <w:p w14:paraId="0F2C280F" w14:textId="4EB2FCC5" w:rsidR="00095898" w:rsidRPr="006514FD" w:rsidRDefault="008F085E" w:rsidP="006514FD">
            <w:pPr>
              <w:rPr>
                <w:lang w:val="de-AT"/>
              </w:rPr>
            </w:pPr>
            <w:r w:rsidRPr="008F085E">
              <w:t xml:space="preserve">Potrebno je brisati dio teksta „odnosno do primitka </w:t>
            </w:r>
            <w:r w:rsidRPr="00F420DD">
              <w:rPr>
                <w:b/>
                <w:bCs/>
              </w:rPr>
              <w:t>potvrde glavnog projekta</w:t>
            </w:r>
            <w:r w:rsidRPr="008F085E">
              <w:t xml:space="preserve">“ jer se navod odnosi na odredbe Zakona o prostornom uređenju i gradnji koji je prestao važiti 01.01.2014. godine. Prema važećem Zakonu o gradnji (NN 153/13 i dr.) akt za građenje je građevinska dozvola a „potvrda glavnog projekta“ je akt kojim javnopravno tijelo potvrđuje da je </w:t>
            </w:r>
            <w:r w:rsidRPr="00F420DD">
              <w:rPr>
                <w:b/>
                <w:bCs/>
              </w:rPr>
              <w:t>glavni projekt</w:t>
            </w:r>
            <w:r w:rsidRPr="008F085E">
              <w:t xml:space="preserve"> izrađen u skladu s posebnim uvjetima građenja i ne predstavlja osnovu za početak građenja</w:t>
            </w:r>
            <w:r>
              <w:t>.</w:t>
            </w:r>
          </w:p>
        </w:tc>
        <w:tc>
          <w:tcPr>
            <w:tcW w:w="3828" w:type="dxa"/>
          </w:tcPr>
          <w:p w14:paraId="2BC3FDAE" w14:textId="0699CAC9" w:rsidR="00F420DD" w:rsidRDefault="00483BA8" w:rsidP="00F420DD">
            <w:pPr>
              <w:rPr>
                <w:b/>
                <w:bCs/>
              </w:rPr>
            </w:pPr>
            <w:r>
              <w:rPr>
                <w:b/>
                <w:bCs/>
              </w:rPr>
              <w:t xml:space="preserve">Prijedlog se </w:t>
            </w:r>
            <w:r w:rsidR="006A4677">
              <w:rPr>
                <w:b/>
                <w:bCs/>
              </w:rPr>
              <w:t>prihvaća,</w:t>
            </w:r>
            <w:r>
              <w:rPr>
                <w:b/>
                <w:bCs/>
              </w:rPr>
              <w:t xml:space="preserve"> budući da se radi o neusklađenoj terminologiji.</w:t>
            </w:r>
          </w:p>
          <w:p w14:paraId="2C098C29" w14:textId="77777777" w:rsidR="00095898" w:rsidRDefault="00095898" w:rsidP="00483BA8"/>
        </w:tc>
      </w:tr>
      <w:tr w:rsidR="00095898" w14:paraId="04F866D9" w14:textId="77777777" w:rsidTr="005A021D">
        <w:tc>
          <w:tcPr>
            <w:tcW w:w="993" w:type="dxa"/>
          </w:tcPr>
          <w:p w14:paraId="2D822C0E" w14:textId="2732F702" w:rsidR="00095898" w:rsidRDefault="00B1528C">
            <w:r>
              <w:lastRenderedPageBreak/>
              <w:t>7.</w:t>
            </w:r>
          </w:p>
        </w:tc>
        <w:tc>
          <w:tcPr>
            <w:tcW w:w="1560" w:type="dxa"/>
          </w:tcPr>
          <w:p w14:paraId="75E0D140" w14:textId="4CF15864" w:rsidR="00095898" w:rsidRDefault="00E91209">
            <w:r w:rsidRPr="00E91209">
              <w:t>Ivan Žeruk dip.ing.građ</w:t>
            </w:r>
          </w:p>
        </w:tc>
        <w:tc>
          <w:tcPr>
            <w:tcW w:w="1134" w:type="dxa"/>
          </w:tcPr>
          <w:p w14:paraId="4CC87EFB" w14:textId="51DE00E4" w:rsidR="00095898" w:rsidRDefault="008F085E">
            <w:r>
              <w:t>Članak 3.</w:t>
            </w:r>
          </w:p>
        </w:tc>
        <w:tc>
          <w:tcPr>
            <w:tcW w:w="2976" w:type="dxa"/>
          </w:tcPr>
          <w:p w14:paraId="42BC5167" w14:textId="4210DC49" w:rsidR="00735242" w:rsidRPr="00735242" w:rsidRDefault="008F085E" w:rsidP="00735242">
            <w:r w:rsidRPr="008F085E">
              <w:t>Potrebno je dodati i mjere kojima se sprječava erozija (vodena i eolska) te klizanje tla – prema GUP-u Nova Gradiška (čl.72., Glava 10. - Mjere sprječavanja nepovoljna utjecaja na okoliš) cca 20% površine parcela na području grada opisanih kroz čl.2. nalazi se na seizmi</w:t>
            </w:r>
            <w:r>
              <w:t>č</w:t>
            </w:r>
            <w:r w:rsidRPr="008F085E">
              <w:t>ki i inženjersko-geološki nestabilnim podru</w:t>
            </w:r>
            <w:r>
              <w:t>č</w:t>
            </w:r>
            <w:r w:rsidRPr="008F085E">
              <w:t>jima ili u graničnoj zoni s istima.</w:t>
            </w:r>
          </w:p>
        </w:tc>
        <w:tc>
          <w:tcPr>
            <w:tcW w:w="3828" w:type="dxa"/>
          </w:tcPr>
          <w:p w14:paraId="61843E29" w14:textId="38AC8EBB" w:rsidR="0044420D" w:rsidRPr="00483BA8" w:rsidRDefault="00483BA8" w:rsidP="0044420D">
            <w:pPr>
              <w:rPr>
                <w:b/>
                <w:bCs/>
                <w:highlight w:val="yellow"/>
              </w:rPr>
            </w:pPr>
            <w:r>
              <w:rPr>
                <w:b/>
                <w:bCs/>
              </w:rPr>
              <w:t>Ne prihvaća se prijedlog,</w:t>
            </w:r>
            <w:r w:rsidR="009612A4">
              <w:rPr>
                <w:b/>
                <w:bCs/>
              </w:rPr>
              <w:t xml:space="preserve"> predmetna</w:t>
            </w:r>
            <w:r>
              <w:rPr>
                <w:b/>
                <w:bCs/>
              </w:rPr>
              <w:t xml:space="preserve"> Odluka je u skladu s propisanom </w:t>
            </w:r>
            <w:r w:rsidR="00AE55C7">
              <w:rPr>
                <w:b/>
                <w:bCs/>
              </w:rPr>
              <w:t>z</w:t>
            </w:r>
            <w:r>
              <w:rPr>
                <w:b/>
                <w:bCs/>
              </w:rPr>
              <w:t>akonskom regulativom</w:t>
            </w:r>
            <w:r w:rsidR="009612A4">
              <w:rPr>
                <w:b/>
                <w:bCs/>
              </w:rPr>
              <w:t>, definirano je prostorno-planskom dokumentacijom.</w:t>
            </w:r>
          </w:p>
          <w:p w14:paraId="4D8BBDAD" w14:textId="77777777" w:rsidR="00095898" w:rsidRDefault="00095898"/>
        </w:tc>
      </w:tr>
      <w:tr w:rsidR="00B1528C" w14:paraId="6F8D09C6" w14:textId="77777777" w:rsidTr="005A021D">
        <w:tc>
          <w:tcPr>
            <w:tcW w:w="993" w:type="dxa"/>
          </w:tcPr>
          <w:p w14:paraId="1A14F60B" w14:textId="42C2281D" w:rsidR="00B1528C" w:rsidRDefault="00B1528C">
            <w:r>
              <w:t>8.</w:t>
            </w:r>
          </w:p>
        </w:tc>
        <w:tc>
          <w:tcPr>
            <w:tcW w:w="1560" w:type="dxa"/>
          </w:tcPr>
          <w:p w14:paraId="312FCFE6" w14:textId="1561EBCC" w:rsidR="00B1528C" w:rsidRPr="00B1528C" w:rsidRDefault="00E91209">
            <w:r w:rsidRPr="00E91209">
              <w:t>Ivan Žeruk dip.ing.građ</w:t>
            </w:r>
          </w:p>
        </w:tc>
        <w:tc>
          <w:tcPr>
            <w:tcW w:w="1134" w:type="dxa"/>
          </w:tcPr>
          <w:p w14:paraId="12478479" w14:textId="42C9D7E0" w:rsidR="00B1528C" w:rsidRDefault="008F085E">
            <w:r>
              <w:t>Članak 5.</w:t>
            </w:r>
          </w:p>
        </w:tc>
        <w:tc>
          <w:tcPr>
            <w:tcW w:w="2976" w:type="dxa"/>
          </w:tcPr>
          <w:p w14:paraId="726D16BA" w14:textId="77777777" w:rsidR="008F085E" w:rsidRPr="008F085E" w:rsidRDefault="008F085E" w:rsidP="008F085E">
            <w:r w:rsidRPr="008F085E">
              <w:t>Potrebno je dodati i uvjet prevencija nastanka klizišta te sprječavanje nakupljanja i zadržavanja oborinskih voda</w:t>
            </w:r>
          </w:p>
          <w:p w14:paraId="5CB1C83C" w14:textId="77777777" w:rsidR="00B1528C" w:rsidRPr="006514FD" w:rsidRDefault="00B1528C" w:rsidP="006514FD">
            <w:pPr>
              <w:rPr>
                <w:lang w:val="de-AT"/>
              </w:rPr>
            </w:pPr>
          </w:p>
        </w:tc>
        <w:tc>
          <w:tcPr>
            <w:tcW w:w="3828" w:type="dxa"/>
          </w:tcPr>
          <w:p w14:paraId="05C55488" w14:textId="5D24C47E" w:rsidR="00483BA8" w:rsidRDefault="00483BA8" w:rsidP="00483BA8">
            <w:r w:rsidRPr="00483BA8">
              <w:rPr>
                <w:b/>
                <w:bCs/>
              </w:rPr>
              <w:t>Ne prihvaća se prijedlog,</w:t>
            </w:r>
            <w:r w:rsidR="009612A4">
              <w:rPr>
                <w:b/>
                <w:bCs/>
              </w:rPr>
              <w:t xml:space="preserve"> predmetna</w:t>
            </w:r>
            <w:r w:rsidRPr="00483BA8">
              <w:rPr>
                <w:b/>
                <w:bCs/>
              </w:rPr>
              <w:t xml:space="preserve"> Odluka je u skladu s propisanom </w:t>
            </w:r>
            <w:r w:rsidR="00AE55C7">
              <w:rPr>
                <w:b/>
                <w:bCs/>
              </w:rPr>
              <w:t>z</w:t>
            </w:r>
            <w:r w:rsidRPr="00483BA8">
              <w:rPr>
                <w:b/>
                <w:bCs/>
              </w:rPr>
              <w:t>akonskom regulativom.</w:t>
            </w:r>
          </w:p>
          <w:p w14:paraId="2B5B7B11" w14:textId="359D314A" w:rsidR="007E486C" w:rsidRDefault="007E486C"/>
        </w:tc>
      </w:tr>
      <w:tr w:rsidR="00B1528C" w14:paraId="1112C36B" w14:textId="77777777" w:rsidTr="005A021D">
        <w:tc>
          <w:tcPr>
            <w:tcW w:w="993" w:type="dxa"/>
          </w:tcPr>
          <w:p w14:paraId="2E98BE78" w14:textId="174CCBB9" w:rsidR="00B1528C" w:rsidRDefault="00B1528C">
            <w:r>
              <w:t>9.</w:t>
            </w:r>
          </w:p>
        </w:tc>
        <w:tc>
          <w:tcPr>
            <w:tcW w:w="1560" w:type="dxa"/>
          </w:tcPr>
          <w:p w14:paraId="34CFD045" w14:textId="730BD14D" w:rsidR="00B1528C" w:rsidRPr="00B1528C" w:rsidRDefault="00E91209">
            <w:r w:rsidRPr="00E91209">
              <w:t>Ivan Žeruk dip.ing.građ</w:t>
            </w:r>
          </w:p>
        </w:tc>
        <w:tc>
          <w:tcPr>
            <w:tcW w:w="1134" w:type="dxa"/>
          </w:tcPr>
          <w:p w14:paraId="2375B645" w14:textId="655DF6C7" w:rsidR="00B1528C" w:rsidRDefault="008F085E">
            <w:r>
              <w:t>Članak 7.</w:t>
            </w:r>
          </w:p>
        </w:tc>
        <w:tc>
          <w:tcPr>
            <w:tcW w:w="2976" w:type="dxa"/>
          </w:tcPr>
          <w:p w14:paraId="75DE2850" w14:textId="7B95D93F" w:rsidR="00B1528C" w:rsidRPr="006514FD" w:rsidRDefault="008F085E" w:rsidP="006514FD">
            <w:pPr>
              <w:rPr>
                <w:lang w:val="de-AT"/>
              </w:rPr>
            </w:pPr>
            <w:r w:rsidRPr="008F085E">
              <w:rPr>
                <w:rFonts w:ascii="Verdana" w:eastAsia="Calibri" w:hAnsi="Verdana" w:cs="Times New Roman"/>
                <w:sz w:val="18"/>
                <w:szCs w:val="18"/>
              </w:rPr>
              <w:t>Potrebno je odrediti prihvatljiv način postupanja s parcelama u zoni aktivnih klizišta i Kategorije IV – nestabilne padine određenih prostornim planom</w:t>
            </w:r>
          </w:p>
        </w:tc>
        <w:tc>
          <w:tcPr>
            <w:tcW w:w="3828" w:type="dxa"/>
          </w:tcPr>
          <w:p w14:paraId="66BD8E8E" w14:textId="30A86D0F" w:rsidR="00B1528C" w:rsidRDefault="009612A4">
            <w:r w:rsidRPr="009612A4">
              <w:t xml:space="preserve"> </w:t>
            </w:r>
            <w:r w:rsidRPr="009612A4">
              <w:rPr>
                <w:b/>
                <w:bCs/>
              </w:rPr>
              <w:t xml:space="preserve">Ne prihvaća se prijedlog, </w:t>
            </w:r>
            <w:r>
              <w:rPr>
                <w:b/>
                <w:bCs/>
              </w:rPr>
              <w:t xml:space="preserve">predmetna </w:t>
            </w:r>
            <w:r w:rsidRPr="009612A4">
              <w:rPr>
                <w:b/>
                <w:bCs/>
              </w:rPr>
              <w:t xml:space="preserve">Odluka je u skladu s propisanom </w:t>
            </w:r>
            <w:r w:rsidR="00AE55C7">
              <w:rPr>
                <w:b/>
                <w:bCs/>
              </w:rPr>
              <w:t>z</w:t>
            </w:r>
            <w:r w:rsidRPr="009612A4">
              <w:rPr>
                <w:b/>
                <w:bCs/>
              </w:rPr>
              <w:t>akonskom regulativom.</w:t>
            </w:r>
          </w:p>
        </w:tc>
      </w:tr>
      <w:tr w:rsidR="00B1528C" w14:paraId="319A6FDE" w14:textId="77777777" w:rsidTr="005A021D">
        <w:tc>
          <w:tcPr>
            <w:tcW w:w="993" w:type="dxa"/>
          </w:tcPr>
          <w:p w14:paraId="20489A9B" w14:textId="2AA07051" w:rsidR="00B1528C" w:rsidRDefault="00B1528C">
            <w:r>
              <w:t>10.</w:t>
            </w:r>
          </w:p>
        </w:tc>
        <w:tc>
          <w:tcPr>
            <w:tcW w:w="1560" w:type="dxa"/>
          </w:tcPr>
          <w:p w14:paraId="1C5FF00C" w14:textId="33EB0168" w:rsidR="00B1528C" w:rsidRPr="00B1528C" w:rsidRDefault="00E91209">
            <w:r w:rsidRPr="00E91209">
              <w:t>Ivan Žeruk dip.ing.građ</w:t>
            </w:r>
          </w:p>
        </w:tc>
        <w:tc>
          <w:tcPr>
            <w:tcW w:w="1134" w:type="dxa"/>
          </w:tcPr>
          <w:p w14:paraId="2788B7A1" w14:textId="363DC58D" w:rsidR="00B1528C" w:rsidRDefault="008F085E">
            <w:r>
              <w:t>Članak 11.</w:t>
            </w:r>
          </w:p>
        </w:tc>
        <w:tc>
          <w:tcPr>
            <w:tcW w:w="2976" w:type="dxa"/>
          </w:tcPr>
          <w:p w14:paraId="42F968F7" w14:textId="1447C7AF" w:rsidR="00B1528C" w:rsidRPr="006514FD" w:rsidRDefault="008F085E" w:rsidP="006514FD">
            <w:pPr>
              <w:rPr>
                <w:lang w:val="de-AT"/>
              </w:rPr>
            </w:pPr>
            <w:r>
              <w:rPr>
                <w:rFonts w:ascii="Verdana" w:hAnsi="Verdana"/>
                <w:sz w:val="18"/>
                <w:szCs w:val="18"/>
              </w:rPr>
              <w:t>Potrebno je uključiti i mjere na sprječavanju erozije (eolske i vodene) te nastanka i širenja klizišta</w:t>
            </w:r>
          </w:p>
        </w:tc>
        <w:tc>
          <w:tcPr>
            <w:tcW w:w="3828" w:type="dxa"/>
          </w:tcPr>
          <w:p w14:paraId="753C9E86" w14:textId="0A4BD1BA" w:rsidR="00B1528C" w:rsidRPr="007721BA" w:rsidRDefault="009612A4">
            <w:pPr>
              <w:rPr>
                <w:color w:val="FF0000"/>
              </w:rPr>
            </w:pPr>
            <w:r>
              <w:rPr>
                <w:b/>
                <w:bCs/>
              </w:rPr>
              <w:t xml:space="preserve">Ne prihvaća se prijedlog, predmetna Odluka je u skladu s propisanom </w:t>
            </w:r>
            <w:r w:rsidR="00AE55C7">
              <w:rPr>
                <w:b/>
                <w:bCs/>
              </w:rPr>
              <w:t>z</w:t>
            </w:r>
            <w:r>
              <w:rPr>
                <w:b/>
                <w:bCs/>
              </w:rPr>
              <w:t>akonskom regulativom.</w:t>
            </w:r>
          </w:p>
        </w:tc>
      </w:tr>
      <w:tr w:rsidR="00B1528C" w14:paraId="6C8F0D48" w14:textId="77777777" w:rsidTr="005A021D">
        <w:tc>
          <w:tcPr>
            <w:tcW w:w="993" w:type="dxa"/>
          </w:tcPr>
          <w:p w14:paraId="4A4051AF" w14:textId="5A937C3F" w:rsidR="00B1528C" w:rsidRDefault="00B1528C">
            <w:r>
              <w:t>11.</w:t>
            </w:r>
          </w:p>
        </w:tc>
        <w:tc>
          <w:tcPr>
            <w:tcW w:w="1560" w:type="dxa"/>
          </w:tcPr>
          <w:p w14:paraId="208A941F" w14:textId="60EF4437" w:rsidR="00B1528C" w:rsidRPr="00B1528C" w:rsidRDefault="00E91209">
            <w:r w:rsidRPr="00E91209">
              <w:t>Ivan Žeruk dip.ing.građ</w:t>
            </w:r>
          </w:p>
        </w:tc>
        <w:tc>
          <w:tcPr>
            <w:tcW w:w="1134" w:type="dxa"/>
          </w:tcPr>
          <w:p w14:paraId="7F61322A" w14:textId="08907BCA" w:rsidR="00B1528C" w:rsidRDefault="008F085E">
            <w:r>
              <w:t>Članak  14.</w:t>
            </w:r>
          </w:p>
        </w:tc>
        <w:tc>
          <w:tcPr>
            <w:tcW w:w="2976" w:type="dxa"/>
          </w:tcPr>
          <w:p w14:paraId="26A825EC" w14:textId="77777777" w:rsidR="008F085E" w:rsidRPr="008F085E" w:rsidRDefault="008F085E" w:rsidP="008F085E">
            <w:r w:rsidRPr="008F085E">
              <w:t>Uz navod zaštite od erozije potrebno je uključiti i zonu Kategorije IV – nestabilne padine određenih prostornim planom te zabraniti održavanje ugara u zoni Kategorije III i IV.</w:t>
            </w:r>
          </w:p>
          <w:p w14:paraId="4ECE6B58" w14:textId="77777777" w:rsidR="00B1528C" w:rsidRPr="006514FD" w:rsidRDefault="00B1528C" w:rsidP="006514FD">
            <w:pPr>
              <w:rPr>
                <w:lang w:val="de-AT"/>
              </w:rPr>
            </w:pPr>
          </w:p>
        </w:tc>
        <w:tc>
          <w:tcPr>
            <w:tcW w:w="3828" w:type="dxa"/>
          </w:tcPr>
          <w:p w14:paraId="76928994" w14:textId="7BBD062D" w:rsidR="009612A4" w:rsidRDefault="009612A4" w:rsidP="00F73EC8">
            <w:pPr>
              <w:rPr>
                <w:b/>
                <w:bCs/>
              </w:rPr>
            </w:pPr>
            <w:r w:rsidRPr="009612A4">
              <w:rPr>
                <w:b/>
                <w:bCs/>
              </w:rPr>
              <w:t xml:space="preserve">Ne prihvaća se prijedlog, Odluka je u skladu s propisanom </w:t>
            </w:r>
            <w:r w:rsidR="00AE55C7">
              <w:rPr>
                <w:b/>
                <w:bCs/>
              </w:rPr>
              <w:t>z</w:t>
            </w:r>
            <w:r w:rsidRPr="009612A4">
              <w:rPr>
                <w:b/>
                <w:bCs/>
              </w:rPr>
              <w:t>akonskom regulativom.</w:t>
            </w:r>
            <w:r>
              <w:rPr>
                <w:b/>
                <w:bCs/>
              </w:rPr>
              <w:t xml:space="preserve"> </w:t>
            </w:r>
          </w:p>
          <w:p w14:paraId="5FF8F2FF" w14:textId="02546199" w:rsidR="00B1528C" w:rsidRDefault="00B1528C" w:rsidP="006216E4"/>
        </w:tc>
      </w:tr>
      <w:tr w:rsidR="00B1528C" w14:paraId="2B5527F2" w14:textId="77777777" w:rsidTr="005A021D">
        <w:tc>
          <w:tcPr>
            <w:tcW w:w="993" w:type="dxa"/>
          </w:tcPr>
          <w:p w14:paraId="021A5499" w14:textId="376A36E0" w:rsidR="00B1528C" w:rsidRDefault="00B1528C">
            <w:r>
              <w:t>12.</w:t>
            </w:r>
          </w:p>
        </w:tc>
        <w:tc>
          <w:tcPr>
            <w:tcW w:w="1560" w:type="dxa"/>
          </w:tcPr>
          <w:p w14:paraId="472C2A74" w14:textId="173D2F79" w:rsidR="00B1528C" w:rsidRPr="00B1528C" w:rsidRDefault="00E91209">
            <w:r w:rsidRPr="00E91209">
              <w:t>Ivan Žeruk dip.ing.građ</w:t>
            </w:r>
          </w:p>
        </w:tc>
        <w:tc>
          <w:tcPr>
            <w:tcW w:w="1134" w:type="dxa"/>
          </w:tcPr>
          <w:p w14:paraId="046578D1" w14:textId="1F2CD314" w:rsidR="00B1528C" w:rsidRDefault="008F085E">
            <w:r w:rsidRPr="008F085E">
              <w:t>Članak  1</w:t>
            </w:r>
            <w:r>
              <w:t>6.</w:t>
            </w:r>
          </w:p>
        </w:tc>
        <w:tc>
          <w:tcPr>
            <w:tcW w:w="2976" w:type="dxa"/>
          </w:tcPr>
          <w:p w14:paraId="12C29FC5" w14:textId="77777777" w:rsidR="008F085E" w:rsidRPr="008F085E" w:rsidRDefault="008F085E" w:rsidP="008F085E">
            <w:r w:rsidRPr="008F085E">
              <w:t xml:space="preserve">Potrebno je pobliže opisati kategoriju poljskih puteva. U naravi postoje prometni koridori u funkciji korištenja poljoprivrednog zemljišta koji se u katastru vode kao „opće dobro – putevi“ a u zemljišnim knjigama je kao vlasnik upisana Republika Hrvatska ili Grad Nova Gradiška (npr. k.č. 1080 k.o. Prvča). Isto tako kod kanala – postoje kanali koji su sukladno odredbama Zakona o vodama (čl.25.) određeni kao kanali III. i IV. reda a koji se navode kao građevine od interesa za Republiku </w:t>
            </w:r>
            <w:r w:rsidRPr="008F085E">
              <w:lastRenderedPageBreak/>
              <w:t>Hrvatsku. Sukladno čl.26. istoga Zakona vodne građevine za melioracije su javna dobra u javnoj uporabi i u vlasništvu su jedinica područne (regionalne) samouprave. Uz to dio kanala ima i status javnog vodnog dobra pod upravljanjem Hrvatskih voda. iz navedenoga proizlazi da predstavničko tijelo jedinice lokalne samouprave prenosi obvezu održavanja objekata za koje nije nadležna na treću stranu?!?! Obzirom na složenost propisa koji pokrivaju navedeno područje a međusobno se na određen način „preklapaju“ i „isključuju“ potrebno je uskladiti područje Zakona o gradnji, Zakona o cestama, Zakona o vodama, Zakona o komunalnom gospodarstvu i Zakona o poljoprivrednom zemljištu.</w:t>
            </w:r>
          </w:p>
          <w:p w14:paraId="43D897C8" w14:textId="77777777" w:rsidR="00B1528C" w:rsidRPr="006514FD" w:rsidRDefault="00B1528C" w:rsidP="006514FD">
            <w:pPr>
              <w:rPr>
                <w:lang w:val="de-AT"/>
              </w:rPr>
            </w:pPr>
          </w:p>
        </w:tc>
        <w:tc>
          <w:tcPr>
            <w:tcW w:w="3828" w:type="dxa"/>
          </w:tcPr>
          <w:p w14:paraId="2BBD1EDF" w14:textId="0CF25F37" w:rsidR="00C66206" w:rsidRDefault="009612A4">
            <w:pPr>
              <w:rPr>
                <w:b/>
                <w:bCs/>
              </w:rPr>
            </w:pPr>
            <w:r>
              <w:rPr>
                <w:b/>
                <w:bCs/>
              </w:rPr>
              <w:lastRenderedPageBreak/>
              <w:t xml:space="preserve">Ne prihvaća se prijedlog, predmetna Odluka je u skladu s propisanom </w:t>
            </w:r>
            <w:r w:rsidR="00AE55C7">
              <w:rPr>
                <w:b/>
                <w:bCs/>
              </w:rPr>
              <w:t>z</w:t>
            </w:r>
            <w:r>
              <w:rPr>
                <w:b/>
                <w:bCs/>
              </w:rPr>
              <w:t>akonskom regulativom.</w:t>
            </w:r>
            <w:r w:rsidR="00C5331B">
              <w:rPr>
                <w:b/>
                <w:bCs/>
              </w:rPr>
              <w:t xml:space="preserve"> </w:t>
            </w:r>
          </w:p>
          <w:p w14:paraId="6743B3CA" w14:textId="76F79021" w:rsidR="00B1528C" w:rsidRPr="00C5331B" w:rsidRDefault="009612A4">
            <w:pPr>
              <w:rPr>
                <w:b/>
                <w:bCs/>
              </w:rPr>
            </w:pPr>
            <w:r>
              <w:t>JLS nije nadležna za usklađivanje Zakona.</w:t>
            </w:r>
          </w:p>
        </w:tc>
      </w:tr>
      <w:tr w:rsidR="008F085E" w14:paraId="2E767BE9" w14:textId="77777777" w:rsidTr="005A021D">
        <w:tc>
          <w:tcPr>
            <w:tcW w:w="993" w:type="dxa"/>
          </w:tcPr>
          <w:p w14:paraId="5EA57FCE" w14:textId="1B02C8B8" w:rsidR="008F085E" w:rsidRDefault="008F085E">
            <w:r>
              <w:t>13.</w:t>
            </w:r>
          </w:p>
        </w:tc>
        <w:tc>
          <w:tcPr>
            <w:tcW w:w="1560" w:type="dxa"/>
          </w:tcPr>
          <w:p w14:paraId="0E24ED83" w14:textId="015E6E3E" w:rsidR="008F085E" w:rsidRPr="00B1528C" w:rsidRDefault="00E91209">
            <w:r w:rsidRPr="00E91209">
              <w:t>Ivan Žeruk dip.ing.građ</w:t>
            </w:r>
          </w:p>
        </w:tc>
        <w:tc>
          <w:tcPr>
            <w:tcW w:w="1134" w:type="dxa"/>
          </w:tcPr>
          <w:p w14:paraId="39B86EBE" w14:textId="42CE8A22" w:rsidR="008F085E" w:rsidRPr="008F085E" w:rsidRDefault="008F085E">
            <w:r w:rsidRPr="008F085E">
              <w:t>Članak  1</w:t>
            </w:r>
            <w:r>
              <w:t>7.</w:t>
            </w:r>
          </w:p>
        </w:tc>
        <w:tc>
          <w:tcPr>
            <w:tcW w:w="2976" w:type="dxa"/>
          </w:tcPr>
          <w:p w14:paraId="22BB2C91" w14:textId="77777777" w:rsidR="008F085E" w:rsidRPr="008F085E" w:rsidRDefault="008F085E" w:rsidP="008F085E">
            <w:r w:rsidRPr="008F085E">
              <w:t xml:space="preserve">Odredbu je potrebno provjeriti (i/ili uskladiti) s Programom ruralnog razvoja Republike Hrvatske kojim je predviđen sustav potpora za neproizvodna ulaganja vezana uz očuvanje okoliša tj. ulaganje u sadnju živica  koje obuhvaća sadnju višegodišnjeg raslinja u isprekidanom dvostrukom redu uz prosječan razmak sadnje od 40 cm (šest biljaka na dužni metar). Propisane zavičajne biljne vrste poput pasje ruže (Rosa canina); graba (Carpinus betulus),crne bazge (Sambucus nigra), drijenka (Cornus mas), svibovine (Cornus sanguinea), trnine (Prunus spinosa), divlje trešnje (Prunus avium) i mogu biti posađene u živicu linearnog oblika, minimalne dužine 10 </w:t>
            </w:r>
            <w:r w:rsidRPr="008F085E">
              <w:lastRenderedPageBreak/>
              <w:t>metara i maksimalne širine 2 metra, koju čine minimalno tri zavičajne vrste od kojih je svaka zastupljena s najmanje 20 % - što predstavlja bitno veće predviđene dimenzije živice u odnosu na opisanih 0,50 m širine.</w:t>
            </w:r>
          </w:p>
          <w:p w14:paraId="737D32AE" w14:textId="77777777" w:rsidR="008F085E" w:rsidRPr="008F085E" w:rsidRDefault="008F085E" w:rsidP="008F085E"/>
        </w:tc>
        <w:tc>
          <w:tcPr>
            <w:tcW w:w="3828" w:type="dxa"/>
          </w:tcPr>
          <w:p w14:paraId="77EB6FD6" w14:textId="4376FF0C" w:rsidR="00DA7439" w:rsidRPr="006216E4" w:rsidRDefault="006216E4" w:rsidP="00975DA3">
            <w:pPr>
              <w:rPr>
                <w:b/>
                <w:bCs/>
              </w:rPr>
            </w:pPr>
            <w:r w:rsidRPr="006216E4">
              <w:rPr>
                <w:b/>
                <w:bCs/>
              </w:rPr>
              <w:lastRenderedPageBreak/>
              <w:t xml:space="preserve">Prihvaća se prijedlog </w:t>
            </w:r>
          </w:p>
          <w:p w14:paraId="5D162D8D" w14:textId="179A481A" w:rsidR="00DA7439" w:rsidRPr="00DA7439" w:rsidRDefault="00DA7439" w:rsidP="00DA7439">
            <w:pPr>
              <w:rPr>
                <w:lang w:val="de-AT"/>
              </w:rPr>
            </w:pPr>
          </w:p>
          <w:p w14:paraId="5179AA8E" w14:textId="36DE5436" w:rsidR="00975DA3" w:rsidRPr="00DA7439" w:rsidRDefault="00975DA3" w:rsidP="00975DA3"/>
          <w:p w14:paraId="250E3E3D" w14:textId="77777777" w:rsidR="008F085E" w:rsidRPr="00DA7439" w:rsidRDefault="008F085E"/>
        </w:tc>
      </w:tr>
      <w:tr w:rsidR="008F085E" w14:paraId="457B1EE6" w14:textId="77777777" w:rsidTr="005A021D">
        <w:tc>
          <w:tcPr>
            <w:tcW w:w="993" w:type="dxa"/>
          </w:tcPr>
          <w:p w14:paraId="27E4DBB7" w14:textId="3BF9DDFE" w:rsidR="008F085E" w:rsidRDefault="008F085E">
            <w:r>
              <w:t>14.</w:t>
            </w:r>
          </w:p>
        </w:tc>
        <w:tc>
          <w:tcPr>
            <w:tcW w:w="1560" w:type="dxa"/>
          </w:tcPr>
          <w:p w14:paraId="11CDCD75" w14:textId="20D7FAB6" w:rsidR="008F085E" w:rsidRPr="00B1528C" w:rsidRDefault="00E91209">
            <w:r w:rsidRPr="00E91209">
              <w:t>Ivan Žeruk dip.ing.građ</w:t>
            </w:r>
          </w:p>
        </w:tc>
        <w:tc>
          <w:tcPr>
            <w:tcW w:w="1134" w:type="dxa"/>
          </w:tcPr>
          <w:p w14:paraId="1F4FAA0B" w14:textId="0D8AAA16" w:rsidR="008F085E" w:rsidRPr="008F085E" w:rsidRDefault="008F085E">
            <w:r w:rsidRPr="008F085E">
              <w:t>Članak  1</w:t>
            </w:r>
            <w:r>
              <w:t>8.</w:t>
            </w:r>
          </w:p>
        </w:tc>
        <w:tc>
          <w:tcPr>
            <w:tcW w:w="2976" w:type="dxa"/>
          </w:tcPr>
          <w:p w14:paraId="042BC0DA" w14:textId="3BD1FC3C" w:rsidR="008F085E" w:rsidRPr="008F085E" w:rsidRDefault="008F085E" w:rsidP="008F085E">
            <w:r w:rsidRPr="008F085E">
              <w:t>Redovito održavanje poljskih puteva prema navedenome u osnovi sadrži elemente gradnje. Nastavno na odredbe čl.128. Zakona o gradnji te čl.4. st.1. točka 10.a. i 11.e. Pravilnika o jednostavnim i drugim građevinama i radovima određeno je da se  bez građevinske dozvole, a u skladu s glavnim projektom može graditi šumska cesta u šumi ili na šumskom zemljištu širine do 5 m, izvedena na tlu bez završnog zastora (makadam ili zemljani put planiran planom gospodarenja šumom) te poljski put na poljoprivrednoj površini širine manje ili jednake 5 m, izveden u tlu bez završnog zastora (makadam ili zemljani put) – a održavanje istih provodi se prema Pravilniku o održavanju građevina (NN 122/14, 98/19). Uz to ključna mjesta su i priključci i prilazi na javne ceste (razvrstane i nerazvrstane) – mogu li to sve obavljati pojedinci u svojstvu vlasnika/posjednika poljoprivrednog zemljišta prema slobodnom nahođenju i proizvoljnom tumačenju odredbi o „održavanju“ i „uređivanju“ ili je to zahvat koji bi trebala organizirati i provesti jedinica lokalne samouprave?</w:t>
            </w:r>
          </w:p>
          <w:p w14:paraId="1D922D36" w14:textId="77777777" w:rsidR="008F085E" w:rsidRPr="008F085E" w:rsidRDefault="008F085E" w:rsidP="008F085E">
            <w:r w:rsidRPr="008F085E">
              <w:t xml:space="preserve">U kojem dijelu se podrazumijeva održavanje elemenata puta – svaki vlasnik/posjednik ispred svoje </w:t>
            </w:r>
            <w:r w:rsidRPr="008F085E">
              <w:lastRenderedPageBreak/>
              <w:t>parcele ili u širem opsegu? Što ako se duž trase nekog puta nalaze čestice u vlasništvu JLS i Republike Hrvatske koje nitko ne obrađuje? Mogu li vlasnici/posjednici očekivati razmjerno sudjelovanje potonjih?</w:t>
            </w:r>
          </w:p>
          <w:p w14:paraId="4E3B25BD" w14:textId="77777777" w:rsidR="008F085E" w:rsidRPr="008F085E" w:rsidRDefault="008F085E" w:rsidP="008F085E"/>
        </w:tc>
        <w:tc>
          <w:tcPr>
            <w:tcW w:w="3828" w:type="dxa"/>
          </w:tcPr>
          <w:p w14:paraId="25F7F175" w14:textId="07AAACCB" w:rsidR="006216E4" w:rsidRPr="006216E4" w:rsidRDefault="006216E4" w:rsidP="006216E4">
            <w:r w:rsidRPr="006216E4">
              <w:rPr>
                <w:b/>
                <w:bCs/>
              </w:rPr>
              <w:lastRenderedPageBreak/>
              <w:t xml:space="preserve">Ne prihvaća se prijedlog, predmetna Odluka je u skladu s propisanom </w:t>
            </w:r>
            <w:r w:rsidR="00AE55C7">
              <w:rPr>
                <w:b/>
                <w:bCs/>
              </w:rPr>
              <w:t>z</w:t>
            </w:r>
            <w:r w:rsidRPr="006216E4">
              <w:rPr>
                <w:b/>
                <w:bCs/>
              </w:rPr>
              <w:t>akonskom regulativom</w:t>
            </w:r>
            <w:r>
              <w:rPr>
                <w:b/>
                <w:bCs/>
              </w:rPr>
              <w:t xml:space="preserve"> i Odlukom o komunalnim djelatnostima Grada Nova Gradiška 04/2019.</w:t>
            </w:r>
          </w:p>
          <w:p w14:paraId="4E2390E9" w14:textId="16C1DAEA" w:rsidR="008F085E" w:rsidRDefault="008F085E"/>
        </w:tc>
      </w:tr>
      <w:tr w:rsidR="008F085E" w14:paraId="0E082461" w14:textId="77777777" w:rsidTr="005A021D">
        <w:tc>
          <w:tcPr>
            <w:tcW w:w="993" w:type="dxa"/>
          </w:tcPr>
          <w:p w14:paraId="3E2D1DD3" w14:textId="6ECE4668" w:rsidR="008F085E" w:rsidRDefault="008F085E">
            <w:r>
              <w:t>15.</w:t>
            </w:r>
          </w:p>
        </w:tc>
        <w:tc>
          <w:tcPr>
            <w:tcW w:w="1560" w:type="dxa"/>
          </w:tcPr>
          <w:p w14:paraId="63DE03E3" w14:textId="45526387" w:rsidR="008F085E" w:rsidRPr="00B1528C" w:rsidRDefault="00BF2556">
            <w:r w:rsidRPr="00BF2556">
              <w:t>Ivan Žeruk dip.ing.građ</w:t>
            </w:r>
          </w:p>
        </w:tc>
        <w:tc>
          <w:tcPr>
            <w:tcW w:w="1134" w:type="dxa"/>
          </w:tcPr>
          <w:p w14:paraId="57480C4E" w14:textId="007F6FF3" w:rsidR="008F085E" w:rsidRPr="008F085E" w:rsidRDefault="008F085E">
            <w:r w:rsidRPr="008F085E">
              <w:t xml:space="preserve">Članak </w:t>
            </w:r>
            <w:r>
              <w:t>20.</w:t>
            </w:r>
          </w:p>
        </w:tc>
        <w:tc>
          <w:tcPr>
            <w:tcW w:w="2976" w:type="dxa"/>
          </w:tcPr>
          <w:p w14:paraId="2244D0AD" w14:textId="77777777" w:rsidR="008F085E" w:rsidRPr="008F085E" w:rsidRDefault="008F085E" w:rsidP="008F085E">
            <w:r w:rsidRPr="008F085E">
              <w:t>Potrebno je pobliže odrediti „prirodne“ kanale oborinskih voda u odnosu na odredbe Zakona o vodama. Uz to, dio parcela nalazi se u zoni javnih cesta gdje su nadležnosti određene Zakonom o cestama – primjerice cestovni kanal do vanjskog ruba izvan naselja u nadležnosti su upravitelja javne ceste a unutar naselja JLS što je opet regulirano Zakonom o komunalnom gospodarstvu.</w:t>
            </w:r>
          </w:p>
          <w:p w14:paraId="020CFB4F" w14:textId="77777777" w:rsidR="008F085E" w:rsidRPr="008F085E" w:rsidRDefault="008F085E" w:rsidP="008F085E"/>
        </w:tc>
        <w:tc>
          <w:tcPr>
            <w:tcW w:w="3828" w:type="dxa"/>
          </w:tcPr>
          <w:p w14:paraId="4711B98D" w14:textId="0B0F19CF" w:rsidR="008F085E" w:rsidRDefault="001F0971">
            <w:r w:rsidRPr="001F0971">
              <w:rPr>
                <w:b/>
                <w:bCs/>
              </w:rPr>
              <w:t>Djelomično se prihvaća</w:t>
            </w:r>
            <w:r>
              <w:t xml:space="preserve">. </w:t>
            </w:r>
            <w:r w:rsidR="004F0928">
              <w:t xml:space="preserve">Izvršit će se </w:t>
            </w:r>
            <w:r w:rsidR="004F0928" w:rsidRPr="004F0928">
              <w:t>korekcija zadnjeg stavka članka 20.</w:t>
            </w:r>
            <w:r w:rsidR="004F0928">
              <w:t xml:space="preserve"> da bude jasnije :“</w:t>
            </w:r>
            <w:bookmarkStart w:id="0" w:name="_Hlk183420227"/>
            <w:r w:rsidR="004F0928" w:rsidRPr="004F0928">
              <w:t xml:space="preserve"> </w:t>
            </w:r>
            <w:r w:rsidR="004F0928">
              <w:t>k</w:t>
            </w:r>
            <w:r w:rsidR="004F0928" w:rsidRPr="004F0928">
              <w:t>analsku mrežu oborinske odvodnje uz poljoprivredne površine održavaju pravne osobe sukladno posebnim propisima, svaka iz svoje nadležnosti</w:t>
            </w:r>
            <w:r w:rsidR="004F0928">
              <w:t>.“</w:t>
            </w:r>
            <w:bookmarkEnd w:id="0"/>
          </w:p>
        </w:tc>
      </w:tr>
      <w:tr w:rsidR="008F085E" w14:paraId="03CDAB91" w14:textId="77777777" w:rsidTr="005A021D">
        <w:tc>
          <w:tcPr>
            <w:tcW w:w="993" w:type="dxa"/>
          </w:tcPr>
          <w:p w14:paraId="2762EAFB" w14:textId="2EF2EBBD" w:rsidR="008F085E" w:rsidRDefault="008F085E">
            <w:r>
              <w:t>16.</w:t>
            </w:r>
          </w:p>
        </w:tc>
        <w:tc>
          <w:tcPr>
            <w:tcW w:w="1560" w:type="dxa"/>
          </w:tcPr>
          <w:p w14:paraId="18DD740B" w14:textId="4677F118" w:rsidR="008F085E" w:rsidRPr="00B1528C" w:rsidRDefault="00BF2556">
            <w:r w:rsidRPr="00BF2556">
              <w:t>Ivan Žeruk dip.ing.građ</w:t>
            </w:r>
          </w:p>
        </w:tc>
        <w:tc>
          <w:tcPr>
            <w:tcW w:w="1134" w:type="dxa"/>
          </w:tcPr>
          <w:p w14:paraId="02B98575" w14:textId="09E1F28F" w:rsidR="008F085E" w:rsidRPr="008F085E" w:rsidRDefault="008F085E">
            <w:r w:rsidRPr="008F085E">
              <w:t xml:space="preserve">Članak  </w:t>
            </w:r>
            <w:r>
              <w:t>21.</w:t>
            </w:r>
          </w:p>
        </w:tc>
        <w:tc>
          <w:tcPr>
            <w:tcW w:w="2976" w:type="dxa"/>
          </w:tcPr>
          <w:p w14:paraId="4291D732" w14:textId="77777777" w:rsidR="008F085E" w:rsidRPr="008F085E" w:rsidRDefault="008F085E" w:rsidP="008F085E">
            <w:r w:rsidRPr="008F085E">
              <w:t>Potrebno je pobliže pojasniti termin „zasjenjivanja“ tj. na kojoj udaljenosti od međe i do koje visine je prihvatljivo raslinje. Npr. ako „južni“ susjed neposredno uz među posadi hrast koji vremenom naraste do 20 i više metara u visinu to je situacija u kojoj se može govoriti o zasjenjivanju susjedne parcele. U isto vrijeme APPRRR u Agronet to isto stablo unese kao obilježje krajobraza od značaja za održavanje bioraznolikosti postavlja se pitanje koja odredba ima prednost? Ujedno stablo nitko ne smije samoinicijativno posjeći i prisvojiti drvnu masu bez prethodne procedure u Hrvatskim šumama.</w:t>
            </w:r>
          </w:p>
          <w:p w14:paraId="22417EDC" w14:textId="77777777" w:rsidR="008F085E" w:rsidRPr="008F085E" w:rsidRDefault="008F085E" w:rsidP="008F085E"/>
        </w:tc>
        <w:tc>
          <w:tcPr>
            <w:tcW w:w="3828" w:type="dxa"/>
          </w:tcPr>
          <w:p w14:paraId="45AC733C" w14:textId="3B1182F9" w:rsidR="001F0971" w:rsidRDefault="001F0971">
            <w:r w:rsidRPr="001F0971">
              <w:rPr>
                <w:b/>
                <w:bCs/>
              </w:rPr>
              <w:t xml:space="preserve">Ne prihvaća se prijedlog, Odluka je u skladu s propisanom </w:t>
            </w:r>
            <w:r w:rsidR="00AE55C7">
              <w:rPr>
                <w:b/>
                <w:bCs/>
              </w:rPr>
              <w:t>z</w:t>
            </w:r>
            <w:r w:rsidRPr="001F0971">
              <w:rPr>
                <w:b/>
                <w:bCs/>
              </w:rPr>
              <w:t>akonskom regulativom.</w:t>
            </w:r>
          </w:p>
        </w:tc>
      </w:tr>
      <w:tr w:rsidR="008F085E" w14:paraId="0A36C27C" w14:textId="77777777" w:rsidTr="005A021D">
        <w:tc>
          <w:tcPr>
            <w:tcW w:w="993" w:type="dxa"/>
          </w:tcPr>
          <w:p w14:paraId="12502323" w14:textId="37932A7C" w:rsidR="008F085E" w:rsidRDefault="008F085E">
            <w:r>
              <w:t>17.</w:t>
            </w:r>
          </w:p>
        </w:tc>
        <w:tc>
          <w:tcPr>
            <w:tcW w:w="1560" w:type="dxa"/>
          </w:tcPr>
          <w:p w14:paraId="2760C358" w14:textId="68EDC11D" w:rsidR="008F085E" w:rsidRPr="00B1528C" w:rsidRDefault="00BF2556">
            <w:r w:rsidRPr="00BF2556">
              <w:t>Ivan Žeruk dip.ing.građ</w:t>
            </w:r>
          </w:p>
        </w:tc>
        <w:tc>
          <w:tcPr>
            <w:tcW w:w="1134" w:type="dxa"/>
          </w:tcPr>
          <w:p w14:paraId="4632C156" w14:textId="524A2AE9" w:rsidR="008F085E" w:rsidRPr="008F085E" w:rsidRDefault="008F085E">
            <w:r w:rsidRPr="008F085E">
              <w:t xml:space="preserve">Članak  </w:t>
            </w:r>
            <w:r>
              <w:t>22.</w:t>
            </w:r>
          </w:p>
        </w:tc>
        <w:tc>
          <w:tcPr>
            <w:tcW w:w="2976" w:type="dxa"/>
          </w:tcPr>
          <w:p w14:paraId="06D61B16" w14:textId="77777777" w:rsidR="00C725CD" w:rsidRPr="00C725CD" w:rsidRDefault="00C725CD" w:rsidP="00C725CD">
            <w:r w:rsidRPr="00C725CD">
              <w:t xml:space="preserve">Potrebno je pobliže pojasniti pojam „vjetrobranski pojas“ – koje vrste su prihvatljive, visina, širina i razmak. Uz to, </w:t>
            </w:r>
            <w:r w:rsidRPr="00C725CD">
              <w:lastRenderedPageBreak/>
              <w:t>ukoliko je riječ o višegodišnjem raslinju otvara se pitanje je li i kada isto u koliziji s člankom 21.?</w:t>
            </w:r>
          </w:p>
          <w:p w14:paraId="242FED31" w14:textId="77777777" w:rsidR="008F085E" w:rsidRPr="008F085E" w:rsidRDefault="008F085E" w:rsidP="008F085E"/>
        </w:tc>
        <w:tc>
          <w:tcPr>
            <w:tcW w:w="3828" w:type="dxa"/>
          </w:tcPr>
          <w:p w14:paraId="5DAB2852" w14:textId="3A4F28E5" w:rsidR="008F085E" w:rsidRDefault="001F0971">
            <w:r w:rsidRPr="001F0971">
              <w:lastRenderedPageBreak/>
              <w:t xml:space="preserve"> </w:t>
            </w:r>
            <w:r w:rsidRPr="001F0971">
              <w:rPr>
                <w:b/>
                <w:bCs/>
              </w:rPr>
              <w:t xml:space="preserve">Ne prihvaća se prijedlog, Odluka je u skladu s propisanom </w:t>
            </w:r>
            <w:r w:rsidR="00AE55C7">
              <w:rPr>
                <w:b/>
                <w:bCs/>
              </w:rPr>
              <w:t>z</w:t>
            </w:r>
            <w:r w:rsidRPr="001F0971">
              <w:rPr>
                <w:b/>
                <w:bCs/>
              </w:rPr>
              <w:t>akonskom regulativom.</w:t>
            </w:r>
          </w:p>
        </w:tc>
      </w:tr>
      <w:tr w:rsidR="008F085E" w14:paraId="148914A0" w14:textId="77777777" w:rsidTr="005A021D">
        <w:tc>
          <w:tcPr>
            <w:tcW w:w="993" w:type="dxa"/>
          </w:tcPr>
          <w:p w14:paraId="40991104" w14:textId="53CA8A69" w:rsidR="008F085E" w:rsidRDefault="008F085E">
            <w:r>
              <w:t>18.</w:t>
            </w:r>
          </w:p>
        </w:tc>
        <w:tc>
          <w:tcPr>
            <w:tcW w:w="1560" w:type="dxa"/>
          </w:tcPr>
          <w:p w14:paraId="4B2EAF0D" w14:textId="7A8B7C08" w:rsidR="008F085E" w:rsidRPr="00B1528C" w:rsidRDefault="00BF2556">
            <w:r w:rsidRPr="00BF2556">
              <w:t>Ivan Žeruk dip.ing.građ</w:t>
            </w:r>
          </w:p>
        </w:tc>
        <w:tc>
          <w:tcPr>
            <w:tcW w:w="1134" w:type="dxa"/>
          </w:tcPr>
          <w:p w14:paraId="58FE7571" w14:textId="4ECE1A90" w:rsidR="008F085E" w:rsidRPr="008F085E" w:rsidRDefault="008F085E">
            <w:r w:rsidRPr="008F085E">
              <w:t xml:space="preserve">Članak </w:t>
            </w:r>
            <w:r>
              <w:t>25.</w:t>
            </w:r>
          </w:p>
        </w:tc>
        <w:tc>
          <w:tcPr>
            <w:tcW w:w="2976" w:type="dxa"/>
          </w:tcPr>
          <w:p w14:paraId="7E5DFD1D" w14:textId="620F41EC" w:rsidR="00C725CD" w:rsidRPr="00C725CD" w:rsidRDefault="00C725CD" w:rsidP="00C725CD">
            <w:r w:rsidRPr="00C725CD">
              <w:t>Potrebno je dopuniti ograničenje i za slučaj dugotrajne suše te u skladu s odredbama Zakona o zaštiti od požara za vrijeme povećane požarne opasnosti otvorenog prostora proglašene od nadležnog tijela prema posebnom propisu.</w:t>
            </w:r>
          </w:p>
          <w:p w14:paraId="34EC4339" w14:textId="77777777" w:rsidR="008F085E" w:rsidRPr="008F085E" w:rsidRDefault="008F085E" w:rsidP="008F085E"/>
        </w:tc>
        <w:tc>
          <w:tcPr>
            <w:tcW w:w="3828" w:type="dxa"/>
          </w:tcPr>
          <w:p w14:paraId="66DBAD02" w14:textId="36AAAE00" w:rsidR="008F085E" w:rsidRDefault="00CF7124">
            <w:r>
              <w:t xml:space="preserve">Ne prihvaća se prijedlog, jer je regulirano člankom 25. Odluke </w:t>
            </w:r>
            <w:r w:rsidR="001F0971">
              <w:rPr>
                <w:b/>
                <w:bCs/>
              </w:rPr>
              <w:t>prema preporukama HVZ-a</w:t>
            </w:r>
            <w:r w:rsidR="00F73EC8" w:rsidRPr="00F73EC8">
              <w:rPr>
                <w:b/>
                <w:bCs/>
              </w:rPr>
              <w:t xml:space="preserve"> kada su i najveće opasnosti od dugotrajnih suša,</w:t>
            </w:r>
            <w:r w:rsidR="00F73EC8">
              <w:t xml:space="preserve"> a time i požara.</w:t>
            </w:r>
          </w:p>
        </w:tc>
      </w:tr>
    </w:tbl>
    <w:p w14:paraId="36580EB9" w14:textId="77777777" w:rsidR="00E30C37" w:rsidRDefault="00E30C37"/>
    <w:p w14:paraId="5B8EF1EA" w14:textId="77777777" w:rsidR="00F323DD" w:rsidRDefault="00F323DD"/>
    <w:p w14:paraId="56FD1D84" w14:textId="77777777" w:rsidR="00F323DD" w:rsidRDefault="00F323DD"/>
    <w:sectPr w:rsidR="00F323DD" w:rsidSect="004B7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182C"/>
    <w:rsid w:val="000165CD"/>
    <w:rsid w:val="000309EF"/>
    <w:rsid w:val="000338BC"/>
    <w:rsid w:val="00067952"/>
    <w:rsid w:val="00095898"/>
    <w:rsid w:val="00100729"/>
    <w:rsid w:val="001009FE"/>
    <w:rsid w:val="00180DC6"/>
    <w:rsid w:val="001A11A1"/>
    <w:rsid w:val="001C69CE"/>
    <w:rsid w:val="001F0971"/>
    <w:rsid w:val="0023220F"/>
    <w:rsid w:val="00250051"/>
    <w:rsid w:val="002B58BB"/>
    <w:rsid w:val="002E7842"/>
    <w:rsid w:val="002F6F7A"/>
    <w:rsid w:val="00326CDA"/>
    <w:rsid w:val="00350837"/>
    <w:rsid w:val="0036034D"/>
    <w:rsid w:val="00360692"/>
    <w:rsid w:val="003627C9"/>
    <w:rsid w:val="003C0FAC"/>
    <w:rsid w:val="0043444E"/>
    <w:rsid w:val="0044420D"/>
    <w:rsid w:val="00483BA8"/>
    <w:rsid w:val="004A37EE"/>
    <w:rsid w:val="004B7A16"/>
    <w:rsid w:val="004F0928"/>
    <w:rsid w:val="005355A0"/>
    <w:rsid w:val="005A021D"/>
    <w:rsid w:val="005D0D56"/>
    <w:rsid w:val="00610A50"/>
    <w:rsid w:val="006216E4"/>
    <w:rsid w:val="00623E28"/>
    <w:rsid w:val="0063516D"/>
    <w:rsid w:val="006514FD"/>
    <w:rsid w:val="00682A31"/>
    <w:rsid w:val="006A246B"/>
    <w:rsid w:val="006A4677"/>
    <w:rsid w:val="006A57A0"/>
    <w:rsid w:val="006A70E6"/>
    <w:rsid w:val="006E5828"/>
    <w:rsid w:val="006F732B"/>
    <w:rsid w:val="00735242"/>
    <w:rsid w:val="00737560"/>
    <w:rsid w:val="0074480B"/>
    <w:rsid w:val="007721BA"/>
    <w:rsid w:val="00782762"/>
    <w:rsid w:val="007A5F78"/>
    <w:rsid w:val="007A74C4"/>
    <w:rsid w:val="007C404B"/>
    <w:rsid w:val="007D1416"/>
    <w:rsid w:val="007E486C"/>
    <w:rsid w:val="00800C94"/>
    <w:rsid w:val="00846E7D"/>
    <w:rsid w:val="00857C19"/>
    <w:rsid w:val="0088007B"/>
    <w:rsid w:val="008E19F0"/>
    <w:rsid w:val="008F085E"/>
    <w:rsid w:val="008F399C"/>
    <w:rsid w:val="00923DC0"/>
    <w:rsid w:val="0094182C"/>
    <w:rsid w:val="00953F97"/>
    <w:rsid w:val="00960290"/>
    <w:rsid w:val="009612A4"/>
    <w:rsid w:val="00975DA3"/>
    <w:rsid w:val="009B5A31"/>
    <w:rsid w:val="009D5492"/>
    <w:rsid w:val="009F6EB4"/>
    <w:rsid w:val="00AE55C7"/>
    <w:rsid w:val="00AF7959"/>
    <w:rsid w:val="00B028DE"/>
    <w:rsid w:val="00B1528C"/>
    <w:rsid w:val="00BF2556"/>
    <w:rsid w:val="00C5331B"/>
    <w:rsid w:val="00C66206"/>
    <w:rsid w:val="00C714E0"/>
    <w:rsid w:val="00C725CD"/>
    <w:rsid w:val="00CF7124"/>
    <w:rsid w:val="00DA7439"/>
    <w:rsid w:val="00E30C37"/>
    <w:rsid w:val="00E450EC"/>
    <w:rsid w:val="00E66E3A"/>
    <w:rsid w:val="00E91209"/>
    <w:rsid w:val="00EB5A3C"/>
    <w:rsid w:val="00EC5BE7"/>
    <w:rsid w:val="00F0114D"/>
    <w:rsid w:val="00F323DD"/>
    <w:rsid w:val="00F420DD"/>
    <w:rsid w:val="00F73EC8"/>
    <w:rsid w:val="00F906AF"/>
    <w:rsid w:val="00F92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1DED"/>
  <w15:docId w15:val="{D8EF1389-E574-4C0D-8030-649908F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E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4182C"/>
    <w:rPr>
      <w:color w:val="0000FF" w:themeColor="hyperlink"/>
      <w:u w:val="single"/>
    </w:rPr>
  </w:style>
  <w:style w:type="paragraph" w:styleId="Tijeloteksta">
    <w:name w:val="Body Text"/>
    <w:basedOn w:val="Normal"/>
    <w:link w:val="TijelotekstaChar"/>
    <w:rsid w:val="00B028DE"/>
    <w:pPr>
      <w:spacing w:after="0" w:line="240" w:lineRule="auto"/>
    </w:pPr>
    <w:rPr>
      <w:rFonts w:ascii="Arial" w:eastAsia="SimSun" w:hAnsi="Arial" w:cs="Arial"/>
      <w:b/>
      <w:sz w:val="24"/>
      <w:szCs w:val="24"/>
    </w:rPr>
  </w:style>
  <w:style w:type="character" w:customStyle="1" w:styleId="TijelotekstaChar">
    <w:name w:val="Tijelo teksta Char"/>
    <w:basedOn w:val="Zadanifontodlomka"/>
    <w:link w:val="Tijeloteksta"/>
    <w:rsid w:val="00B028DE"/>
    <w:rPr>
      <w:rFonts w:ascii="Arial" w:eastAsia="SimSun" w:hAnsi="Arial" w:cs="Arial"/>
      <w:b/>
      <w:sz w:val="24"/>
      <w:szCs w:val="24"/>
    </w:rPr>
  </w:style>
  <w:style w:type="table" w:styleId="Reetkatablice">
    <w:name w:val="Table Grid"/>
    <w:basedOn w:val="Obinatablica"/>
    <w:uiPriority w:val="59"/>
    <w:rsid w:val="00E3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9D5492"/>
    <w:rPr>
      <w:color w:val="605E5C"/>
      <w:shd w:val="clear" w:color="auto" w:fill="E1DFDD"/>
    </w:rPr>
  </w:style>
  <w:style w:type="paragraph" w:styleId="Odlomakpopisa">
    <w:name w:val="List Paragraph"/>
    <w:basedOn w:val="Normal"/>
    <w:uiPriority w:val="34"/>
    <w:qFormat/>
    <w:rsid w:val="006A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98474">
      <w:bodyDiv w:val="1"/>
      <w:marLeft w:val="0"/>
      <w:marRight w:val="0"/>
      <w:marTop w:val="0"/>
      <w:marBottom w:val="0"/>
      <w:divBdr>
        <w:top w:val="none" w:sz="0" w:space="0" w:color="auto"/>
        <w:left w:val="none" w:sz="0" w:space="0" w:color="auto"/>
        <w:bottom w:val="none" w:sz="0" w:space="0" w:color="auto"/>
        <w:right w:val="none" w:sz="0" w:space="0" w:color="auto"/>
      </w:divBdr>
    </w:div>
    <w:div w:id="233010306">
      <w:bodyDiv w:val="1"/>
      <w:marLeft w:val="0"/>
      <w:marRight w:val="0"/>
      <w:marTop w:val="0"/>
      <w:marBottom w:val="0"/>
      <w:divBdr>
        <w:top w:val="none" w:sz="0" w:space="0" w:color="auto"/>
        <w:left w:val="none" w:sz="0" w:space="0" w:color="auto"/>
        <w:bottom w:val="none" w:sz="0" w:space="0" w:color="auto"/>
        <w:right w:val="none" w:sz="0" w:space="0" w:color="auto"/>
      </w:divBdr>
    </w:div>
    <w:div w:id="547422321">
      <w:bodyDiv w:val="1"/>
      <w:marLeft w:val="0"/>
      <w:marRight w:val="0"/>
      <w:marTop w:val="0"/>
      <w:marBottom w:val="0"/>
      <w:divBdr>
        <w:top w:val="none" w:sz="0" w:space="0" w:color="auto"/>
        <w:left w:val="none" w:sz="0" w:space="0" w:color="auto"/>
        <w:bottom w:val="none" w:sz="0" w:space="0" w:color="auto"/>
        <w:right w:val="none" w:sz="0" w:space="0" w:color="auto"/>
      </w:divBdr>
      <w:divsChild>
        <w:div w:id="1762750935">
          <w:marLeft w:val="0"/>
          <w:marRight w:val="0"/>
          <w:marTop w:val="0"/>
          <w:marBottom w:val="0"/>
          <w:divBdr>
            <w:top w:val="none" w:sz="0" w:space="0" w:color="auto"/>
            <w:left w:val="none" w:sz="0" w:space="0" w:color="auto"/>
            <w:bottom w:val="none" w:sz="0" w:space="0" w:color="auto"/>
            <w:right w:val="none" w:sz="0" w:space="0" w:color="auto"/>
          </w:divBdr>
        </w:div>
        <w:div w:id="1995915022">
          <w:marLeft w:val="0"/>
          <w:marRight w:val="0"/>
          <w:marTop w:val="0"/>
          <w:marBottom w:val="0"/>
          <w:divBdr>
            <w:top w:val="none" w:sz="0" w:space="0" w:color="auto"/>
            <w:left w:val="none" w:sz="0" w:space="0" w:color="auto"/>
            <w:bottom w:val="none" w:sz="0" w:space="0" w:color="auto"/>
            <w:right w:val="none" w:sz="0" w:space="0" w:color="auto"/>
          </w:divBdr>
        </w:div>
        <w:div w:id="336351838">
          <w:marLeft w:val="0"/>
          <w:marRight w:val="0"/>
          <w:marTop w:val="0"/>
          <w:marBottom w:val="0"/>
          <w:divBdr>
            <w:top w:val="none" w:sz="0" w:space="0" w:color="auto"/>
            <w:left w:val="none" w:sz="0" w:space="0" w:color="auto"/>
            <w:bottom w:val="none" w:sz="0" w:space="0" w:color="auto"/>
            <w:right w:val="none" w:sz="0" w:space="0" w:color="auto"/>
          </w:divBdr>
        </w:div>
        <w:div w:id="2145659174">
          <w:marLeft w:val="0"/>
          <w:marRight w:val="0"/>
          <w:marTop w:val="0"/>
          <w:marBottom w:val="0"/>
          <w:divBdr>
            <w:top w:val="none" w:sz="0" w:space="0" w:color="auto"/>
            <w:left w:val="none" w:sz="0" w:space="0" w:color="auto"/>
            <w:bottom w:val="none" w:sz="0" w:space="0" w:color="auto"/>
            <w:right w:val="none" w:sz="0" w:space="0" w:color="auto"/>
          </w:divBdr>
        </w:div>
      </w:divsChild>
    </w:div>
    <w:div w:id="672998845">
      <w:bodyDiv w:val="1"/>
      <w:marLeft w:val="0"/>
      <w:marRight w:val="0"/>
      <w:marTop w:val="0"/>
      <w:marBottom w:val="0"/>
      <w:divBdr>
        <w:top w:val="none" w:sz="0" w:space="0" w:color="auto"/>
        <w:left w:val="none" w:sz="0" w:space="0" w:color="auto"/>
        <w:bottom w:val="none" w:sz="0" w:space="0" w:color="auto"/>
        <w:right w:val="none" w:sz="0" w:space="0" w:color="auto"/>
      </w:divBdr>
      <w:divsChild>
        <w:div w:id="612708064">
          <w:marLeft w:val="0"/>
          <w:marRight w:val="0"/>
          <w:marTop w:val="0"/>
          <w:marBottom w:val="0"/>
          <w:divBdr>
            <w:top w:val="none" w:sz="0" w:space="0" w:color="auto"/>
            <w:left w:val="none" w:sz="0" w:space="0" w:color="auto"/>
            <w:bottom w:val="none" w:sz="0" w:space="0" w:color="auto"/>
            <w:right w:val="none" w:sz="0" w:space="0" w:color="auto"/>
          </w:divBdr>
        </w:div>
        <w:div w:id="1863930816">
          <w:marLeft w:val="0"/>
          <w:marRight w:val="0"/>
          <w:marTop w:val="0"/>
          <w:marBottom w:val="0"/>
          <w:divBdr>
            <w:top w:val="none" w:sz="0" w:space="0" w:color="auto"/>
            <w:left w:val="none" w:sz="0" w:space="0" w:color="auto"/>
            <w:bottom w:val="none" w:sz="0" w:space="0" w:color="auto"/>
            <w:right w:val="none" w:sz="0" w:space="0" w:color="auto"/>
          </w:divBdr>
        </w:div>
        <w:div w:id="2115246419">
          <w:marLeft w:val="0"/>
          <w:marRight w:val="0"/>
          <w:marTop w:val="0"/>
          <w:marBottom w:val="0"/>
          <w:divBdr>
            <w:top w:val="none" w:sz="0" w:space="0" w:color="auto"/>
            <w:left w:val="none" w:sz="0" w:space="0" w:color="auto"/>
            <w:bottom w:val="none" w:sz="0" w:space="0" w:color="auto"/>
            <w:right w:val="none" w:sz="0" w:space="0" w:color="auto"/>
          </w:divBdr>
        </w:div>
        <w:div w:id="250967308">
          <w:marLeft w:val="0"/>
          <w:marRight w:val="0"/>
          <w:marTop w:val="0"/>
          <w:marBottom w:val="0"/>
          <w:divBdr>
            <w:top w:val="none" w:sz="0" w:space="0" w:color="auto"/>
            <w:left w:val="none" w:sz="0" w:space="0" w:color="auto"/>
            <w:bottom w:val="none" w:sz="0" w:space="0" w:color="auto"/>
            <w:right w:val="none" w:sz="0" w:space="0" w:color="auto"/>
          </w:divBdr>
        </w:div>
        <w:div w:id="1943218563">
          <w:marLeft w:val="0"/>
          <w:marRight w:val="0"/>
          <w:marTop w:val="0"/>
          <w:marBottom w:val="0"/>
          <w:divBdr>
            <w:top w:val="none" w:sz="0" w:space="0" w:color="auto"/>
            <w:left w:val="none" w:sz="0" w:space="0" w:color="auto"/>
            <w:bottom w:val="none" w:sz="0" w:space="0" w:color="auto"/>
            <w:right w:val="none" w:sz="0" w:space="0" w:color="auto"/>
          </w:divBdr>
        </w:div>
      </w:divsChild>
    </w:div>
    <w:div w:id="938100438">
      <w:bodyDiv w:val="1"/>
      <w:marLeft w:val="0"/>
      <w:marRight w:val="0"/>
      <w:marTop w:val="0"/>
      <w:marBottom w:val="0"/>
      <w:divBdr>
        <w:top w:val="none" w:sz="0" w:space="0" w:color="auto"/>
        <w:left w:val="none" w:sz="0" w:space="0" w:color="auto"/>
        <w:bottom w:val="none" w:sz="0" w:space="0" w:color="auto"/>
        <w:right w:val="none" w:sz="0" w:space="0" w:color="auto"/>
      </w:divBdr>
    </w:div>
    <w:div w:id="1813251013">
      <w:bodyDiv w:val="1"/>
      <w:marLeft w:val="0"/>
      <w:marRight w:val="0"/>
      <w:marTop w:val="0"/>
      <w:marBottom w:val="0"/>
      <w:divBdr>
        <w:top w:val="none" w:sz="0" w:space="0" w:color="auto"/>
        <w:left w:val="none" w:sz="0" w:space="0" w:color="auto"/>
        <w:bottom w:val="none" w:sz="0" w:space="0" w:color="auto"/>
        <w:right w:val="none" w:sz="0" w:space="0" w:color="auto"/>
      </w:divBdr>
      <w:divsChild>
        <w:div w:id="621497028">
          <w:marLeft w:val="0"/>
          <w:marRight w:val="0"/>
          <w:marTop w:val="0"/>
          <w:marBottom w:val="0"/>
          <w:divBdr>
            <w:top w:val="none" w:sz="0" w:space="0" w:color="auto"/>
            <w:left w:val="none" w:sz="0" w:space="0" w:color="auto"/>
            <w:bottom w:val="none" w:sz="0" w:space="0" w:color="auto"/>
            <w:right w:val="none" w:sz="0" w:space="0" w:color="auto"/>
          </w:divBdr>
        </w:div>
        <w:div w:id="1779332398">
          <w:marLeft w:val="0"/>
          <w:marRight w:val="0"/>
          <w:marTop w:val="0"/>
          <w:marBottom w:val="0"/>
          <w:divBdr>
            <w:top w:val="none" w:sz="0" w:space="0" w:color="auto"/>
            <w:left w:val="none" w:sz="0" w:space="0" w:color="auto"/>
            <w:bottom w:val="none" w:sz="0" w:space="0" w:color="auto"/>
            <w:right w:val="none" w:sz="0" w:space="0" w:color="auto"/>
          </w:divBdr>
        </w:div>
        <w:div w:id="147945462">
          <w:marLeft w:val="0"/>
          <w:marRight w:val="0"/>
          <w:marTop w:val="0"/>
          <w:marBottom w:val="0"/>
          <w:divBdr>
            <w:top w:val="none" w:sz="0" w:space="0" w:color="auto"/>
            <w:left w:val="none" w:sz="0" w:space="0" w:color="auto"/>
            <w:bottom w:val="none" w:sz="0" w:space="0" w:color="auto"/>
            <w:right w:val="none" w:sz="0" w:space="0" w:color="auto"/>
          </w:divBdr>
        </w:div>
        <w:div w:id="966936961">
          <w:marLeft w:val="0"/>
          <w:marRight w:val="0"/>
          <w:marTop w:val="0"/>
          <w:marBottom w:val="0"/>
          <w:divBdr>
            <w:top w:val="none" w:sz="0" w:space="0" w:color="auto"/>
            <w:left w:val="none" w:sz="0" w:space="0" w:color="auto"/>
            <w:bottom w:val="none" w:sz="0" w:space="0" w:color="auto"/>
            <w:right w:val="none" w:sz="0" w:space="0" w:color="auto"/>
          </w:divBdr>
        </w:div>
        <w:div w:id="1899171634">
          <w:marLeft w:val="0"/>
          <w:marRight w:val="0"/>
          <w:marTop w:val="0"/>
          <w:marBottom w:val="0"/>
          <w:divBdr>
            <w:top w:val="none" w:sz="0" w:space="0" w:color="auto"/>
            <w:left w:val="none" w:sz="0" w:space="0" w:color="auto"/>
            <w:bottom w:val="none" w:sz="0" w:space="0" w:color="auto"/>
            <w:right w:val="none" w:sz="0" w:space="0" w:color="auto"/>
          </w:divBdr>
        </w:div>
      </w:divsChild>
    </w:div>
    <w:div w:id="2122721826">
      <w:bodyDiv w:val="1"/>
      <w:marLeft w:val="0"/>
      <w:marRight w:val="0"/>
      <w:marTop w:val="0"/>
      <w:marBottom w:val="0"/>
      <w:divBdr>
        <w:top w:val="none" w:sz="0" w:space="0" w:color="auto"/>
        <w:left w:val="none" w:sz="0" w:space="0" w:color="auto"/>
        <w:bottom w:val="none" w:sz="0" w:space="0" w:color="auto"/>
        <w:right w:val="none" w:sz="0" w:space="0" w:color="auto"/>
      </w:divBdr>
      <w:divsChild>
        <w:div w:id="974680250">
          <w:marLeft w:val="0"/>
          <w:marRight w:val="0"/>
          <w:marTop w:val="0"/>
          <w:marBottom w:val="0"/>
          <w:divBdr>
            <w:top w:val="none" w:sz="0" w:space="0" w:color="auto"/>
            <w:left w:val="none" w:sz="0" w:space="0" w:color="auto"/>
            <w:bottom w:val="none" w:sz="0" w:space="0" w:color="auto"/>
            <w:right w:val="none" w:sz="0" w:space="0" w:color="auto"/>
          </w:divBdr>
        </w:div>
        <w:div w:id="656956541">
          <w:marLeft w:val="0"/>
          <w:marRight w:val="0"/>
          <w:marTop w:val="0"/>
          <w:marBottom w:val="0"/>
          <w:divBdr>
            <w:top w:val="none" w:sz="0" w:space="0" w:color="auto"/>
            <w:left w:val="none" w:sz="0" w:space="0" w:color="auto"/>
            <w:bottom w:val="none" w:sz="0" w:space="0" w:color="auto"/>
            <w:right w:val="none" w:sz="0" w:space="0" w:color="auto"/>
          </w:divBdr>
        </w:div>
        <w:div w:id="1272936646">
          <w:marLeft w:val="0"/>
          <w:marRight w:val="0"/>
          <w:marTop w:val="0"/>
          <w:marBottom w:val="0"/>
          <w:divBdr>
            <w:top w:val="none" w:sz="0" w:space="0" w:color="auto"/>
            <w:left w:val="none" w:sz="0" w:space="0" w:color="auto"/>
            <w:bottom w:val="none" w:sz="0" w:space="0" w:color="auto"/>
            <w:right w:val="none" w:sz="0" w:space="0" w:color="auto"/>
          </w:divBdr>
        </w:div>
        <w:div w:id="1746996641">
          <w:marLeft w:val="0"/>
          <w:marRight w:val="0"/>
          <w:marTop w:val="0"/>
          <w:marBottom w:val="0"/>
          <w:divBdr>
            <w:top w:val="none" w:sz="0" w:space="0" w:color="auto"/>
            <w:left w:val="none" w:sz="0" w:space="0" w:color="auto"/>
            <w:bottom w:val="none" w:sz="0" w:space="0" w:color="auto"/>
            <w:right w:val="none" w:sz="0" w:space="0" w:color="auto"/>
          </w:divBdr>
        </w:div>
        <w:div w:id="157636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ovagradiska.hr/news/obavijest-o-savjetovanju-sa-zainteresiranom-javnoscu-odluka-o-agrotehnickim-mjerama-mjerama-za-uredivanje-i-odrzavanje-poljoprivrednih-rudina-i-mjerama-zastite-od-pozara-na-podrucju-grada-no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269C-6B9B-4874-AA02-61FA6841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1922</Words>
  <Characters>12109</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Bašić</dc:creator>
  <cp:lastModifiedBy>Aleksandra Berić</cp:lastModifiedBy>
  <cp:revision>37</cp:revision>
  <dcterms:created xsi:type="dcterms:W3CDTF">2023-11-22T07:20:00Z</dcterms:created>
  <dcterms:modified xsi:type="dcterms:W3CDTF">2024-12-16T07:09:00Z</dcterms:modified>
</cp:coreProperties>
</file>