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B" w:rsidRPr="00C41AC3" w:rsidRDefault="008321EB" w:rsidP="00C41AC3">
      <w:pPr>
        <w:ind w:right="16"/>
        <w:jc w:val="right"/>
        <w:rPr>
          <w:rFonts w:eastAsia="Arial"/>
          <w:b/>
          <w:i/>
          <w:color w:val="D9D9D9" w:themeColor="background1" w:themeShade="D9"/>
          <w:sz w:val="18"/>
          <w:szCs w:val="18"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="00C41AC3">
        <w:rPr>
          <w:i/>
          <w:color w:val="D9D9D9" w:themeColor="background1" w:themeShade="D9"/>
          <w:sz w:val="18"/>
          <w:szCs w:val="18"/>
        </w:rPr>
        <w:t>Obrazac</w:t>
      </w:r>
      <w:r w:rsidR="00083648">
        <w:rPr>
          <w:i/>
          <w:color w:val="D9D9D9" w:themeColor="background1" w:themeShade="D9"/>
          <w:sz w:val="18"/>
          <w:szCs w:val="18"/>
        </w:rPr>
        <w:t>3.</w:t>
      </w:r>
    </w:p>
    <w:p w:rsidR="008321EB" w:rsidRPr="004515A0" w:rsidRDefault="008321EB" w:rsidP="00C41AC3">
      <w:pPr>
        <w:tabs>
          <w:tab w:val="left" w:pos="7371"/>
          <w:tab w:val="center" w:pos="9401"/>
        </w:tabs>
        <w:ind w:left="2832" w:right="16" w:hanging="2832"/>
        <w:jc w:val="center"/>
        <w:rPr>
          <w:rFonts w:eastAsia="Arial"/>
          <w:b/>
          <w:sz w:val="20"/>
          <w:szCs w:val="20"/>
        </w:rPr>
      </w:pPr>
      <w:r w:rsidRPr="004515A0">
        <w:rPr>
          <w:b/>
          <w:sz w:val="20"/>
          <w:szCs w:val="20"/>
        </w:rPr>
        <w:t>IZJAVA</w:t>
      </w:r>
    </w:p>
    <w:p w:rsidR="008321EB" w:rsidRDefault="008321EB" w:rsidP="00C41AC3">
      <w:pPr>
        <w:ind w:right="16"/>
        <w:jc w:val="center"/>
        <w:rPr>
          <w:b/>
          <w:sz w:val="20"/>
          <w:szCs w:val="20"/>
        </w:rPr>
      </w:pPr>
      <w:r w:rsidRPr="004515A0">
        <w:rPr>
          <w:b/>
          <w:sz w:val="20"/>
          <w:szCs w:val="20"/>
        </w:rPr>
        <w:t>O KORIŠTENIM  POTPORAMA MALE VRIJEDNOSTI</w:t>
      </w:r>
    </w:p>
    <w:p w:rsidR="00C41AC3" w:rsidRPr="004515A0" w:rsidRDefault="00C41AC3" w:rsidP="00C41AC3">
      <w:pPr>
        <w:ind w:right="16"/>
        <w:jc w:val="center"/>
        <w:rPr>
          <w:b/>
          <w:sz w:val="20"/>
          <w:szCs w:val="20"/>
        </w:rPr>
      </w:pPr>
    </w:p>
    <w:p w:rsidR="00C41AC3" w:rsidRPr="004515A0" w:rsidRDefault="00C41AC3" w:rsidP="00C41AC3">
      <w:pPr>
        <w:ind w:right="16"/>
        <w:jc w:val="both"/>
        <w:rPr>
          <w:bCs/>
          <w:sz w:val="20"/>
          <w:szCs w:val="20"/>
        </w:rPr>
      </w:pPr>
    </w:p>
    <w:p w:rsidR="00D0521A" w:rsidRPr="00D0521A" w:rsidRDefault="00D0521A" w:rsidP="00D0521A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D0521A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:rsidR="008321EB" w:rsidRPr="00C41AC3" w:rsidRDefault="008321EB" w:rsidP="008321EB">
      <w:pPr>
        <w:ind w:right="16"/>
        <w:rPr>
          <w:sz w:val="20"/>
          <w:szCs w:val="20"/>
        </w:rPr>
      </w:pPr>
    </w:p>
    <w:p w:rsidR="00CE0BAE" w:rsidRPr="00C41AC3" w:rsidRDefault="00CE0BAE" w:rsidP="00CE0BAE">
      <w:pPr>
        <w:suppressAutoHyphens w:val="0"/>
        <w:jc w:val="both"/>
        <w:rPr>
          <w:rFonts w:eastAsia="PMingLiU"/>
          <w:bCs/>
          <w:sz w:val="22"/>
          <w:szCs w:val="22"/>
          <w:lang w:eastAsia="zh-TW"/>
        </w:rPr>
      </w:pPr>
      <w:r w:rsidRPr="00C41AC3">
        <w:rPr>
          <w:rFonts w:eastAsia="PMingLiU"/>
          <w:bCs/>
          <w:sz w:val="22"/>
          <w:szCs w:val="22"/>
          <w:lang w:eastAsia="zh-TW"/>
        </w:rPr>
        <w:t>a) koristio/</w:t>
      </w:r>
      <w:proofErr w:type="spellStart"/>
      <w:r w:rsidRPr="00C41AC3">
        <w:rPr>
          <w:rFonts w:eastAsia="PMingLiU"/>
          <w:bCs/>
          <w:sz w:val="22"/>
          <w:szCs w:val="22"/>
          <w:lang w:eastAsia="zh-TW"/>
        </w:rPr>
        <w:t>la</w:t>
      </w:r>
      <w:proofErr w:type="spellEnd"/>
      <w:r w:rsidRPr="00C41AC3">
        <w:rPr>
          <w:rFonts w:eastAsia="PMingLiU"/>
          <w:bCs/>
          <w:sz w:val="22"/>
          <w:szCs w:val="22"/>
          <w:lang w:eastAsia="zh-TW"/>
        </w:rPr>
        <w:t xml:space="preserve"> državne potpore male vrijednosti.</w:t>
      </w:r>
    </w:p>
    <w:p w:rsidR="00CE0BAE" w:rsidRPr="00C41AC3" w:rsidRDefault="00CE0BAE" w:rsidP="00CE0BAE">
      <w:pPr>
        <w:suppressAutoHyphens w:val="0"/>
        <w:jc w:val="both"/>
        <w:rPr>
          <w:rFonts w:eastAsia="PMingLiU"/>
          <w:bCs/>
          <w:sz w:val="22"/>
          <w:szCs w:val="22"/>
          <w:lang w:eastAsia="zh-TW"/>
        </w:rPr>
      </w:pPr>
      <w:r w:rsidRPr="00C41AC3">
        <w:rPr>
          <w:rFonts w:eastAsia="PMingLiU"/>
          <w:bCs/>
          <w:sz w:val="22"/>
          <w:szCs w:val="22"/>
          <w:lang w:eastAsia="zh-TW"/>
        </w:rPr>
        <w:t>b) nisam koristio/</w:t>
      </w:r>
      <w:proofErr w:type="spellStart"/>
      <w:r w:rsidRPr="00C41AC3">
        <w:rPr>
          <w:rFonts w:eastAsia="PMingLiU"/>
          <w:bCs/>
          <w:sz w:val="22"/>
          <w:szCs w:val="22"/>
          <w:lang w:eastAsia="zh-TW"/>
        </w:rPr>
        <w:t>la</w:t>
      </w:r>
      <w:proofErr w:type="spellEnd"/>
      <w:r w:rsidRPr="00C41AC3">
        <w:rPr>
          <w:rFonts w:eastAsia="PMingLiU"/>
          <w:bCs/>
          <w:sz w:val="22"/>
          <w:szCs w:val="22"/>
          <w:lang w:eastAsia="zh-TW"/>
        </w:rPr>
        <w:t xml:space="preserve"> državne potpore male vrijednosti.</w:t>
      </w:r>
    </w:p>
    <w:p w:rsidR="00CE0BAE" w:rsidRPr="00C41AC3" w:rsidRDefault="00CE0BAE" w:rsidP="00CE0BAE">
      <w:pPr>
        <w:suppressAutoHyphens w:val="0"/>
        <w:jc w:val="both"/>
        <w:rPr>
          <w:rFonts w:eastAsia="PMingLiU"/>
          <w:bCs/>
          <w:sz w:val="20"/>
          <w:szCs w:val="20"/>
          <w:lang w:eastAsia="zh-TW"/>
        </w:rPr>
      </w:pPr>
    </w:p>
    <w:p w:rsidR="00CE0BAE" w:rsidRDefault="00CE0BAE" w:rsidP="00CE0BAE">
      <w:pPr>
        <w:suppressAutoHyphens w:val="0"/>
        <w:jc w:val="both"/>
        <w:rPr>
          <w:rFonts w:eastAsia="PMingLiU"/>
          <w:bCs/>
          <w:sz w:val="20"/>
          <w:szCs w:val="20"/>
          <w:lang w:eastAsia="zh-TW"/>
        </w:rPr>
      </w:pPr>
      <w:r w:rsidRPr="00C41AC3">
        <w:rPr>
          <w:rFonts w:eastAsia="PMingLiU"/>
          <w:bCs/>
          <w:sz w:val="20"/>
          <w:szCs w:val="20"/>
          <w:lang w:eastAsia="zh-TW"/>
        </w:rPr>
        <w:t>Ako je odgovor a), obavezno ispuniti sljedeću tabelu:</w:t>
      </w:r>
    </w:p>
    <w:p w:rsidR="00C41AC3" w:rsidRDefault="00C41AC3" w:rsidP="00CE0BAE">
      <w:pPr>
        <w:suppressAutoHyphens w:val="0"/>
        <w:jc w:val="both"/>
        <w:rPr>
          <w:rFonts w:eastAsia="PMingLiU"/>
          <w:bCs/>
          <w:sz w:val="20"/>
          <w:szCs w:val="20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874"/>
      </w:tblGrid>
      <w:tr w:rsidR="00C41AC3" w:rsidRPr="00C41AC3" w:rsidTr="00C41AC3">
        <w:trPr>
          <w:trHeight w:val="344"/>
        </w:trPr>
        <w:tc>
          <w:tcPr>
            <w:tcW w:w="226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Naziv korisnika</w:t>
            </w:r>
          </w:p>
        </w:tc>
        <w:tc>
          <w:tcPr>
            <w:tcW w:w="11874" w:type="dxa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C41AC3">
        <w:trPr>
          <w:trHeight w:val="420"/>
        </w:trPr>
        <w:tc>
          <w:tcPr>
            <w:tcW w:w="226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 xml:space="preserve">Adresa </w:t>
            </w:r>
          </w:p>
        </w:tc>
        <w:tc>
          <w:tcPr>
            <w:tcW w:w="11874" w:type="dxa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C41AC3">
        <w:trPr>
          <w:trHeight w:val="442"/>
        </w:trPr>
        <w:tc>
          <w:tcPr>
            <w:tcW w:w="226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 xml:space="preserve">OIB </w:t>
            </w:r>
          </w:p>
        </w:tc>
        <w:tc>
          <w:tcPr>
            <w:tcW w:w="11874" w:type="dxa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C41AC3" w:rsidRDefault="00C41AC3" w:rsidP="00CE0BAE">
      <w:pPr>
        <w:suppressAutoHyphens w:val="0"/>
        <w:jc w:val="both"/>
        <w:rPr>
          <w:rFonts w:eastAsia="PMingLiU"/>
          <w:bCs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517"/>
        <w:gridCol w:w="2181"/>
        <w:gridCol w:w="2302"/>
        <w:gridCol w:w="2332"/>
        <w:gridCol w:w="1432"/>
        <w:gridCol w:w="1198"/>
        <w:gridCol w:w="1243"/>
      </w:tblGrid>
      <w:tr w:rsidR="00C41AC3" w:rsidRPr="00C41AC3" w:rsidTr="00D0521A">
        <w:trPr>
          <w:cantSplit/>
          <w:trHeight w:val="375"/>
        </w:trPr>
        <w:tc>
          <w:tcPr>
            <w:tcW w:w="14069" w:type="dxa"/>
            <w:gridSpan w:val="8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Pregled korištenih potpora male vrijednosti</w:t>
            </w:r>
          </w:p>
        </w:tc>
      </w:tr>
      <w:tr w:rsidR="00C41AC3" w:rsidRPr="00C41AC3" w:rsidTr="00D0521A">
        <w:tc>
          <w:tcPr>
            <w:tcW w:w="864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Godina</w:t>
            </w: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Naziv gospodarskog subjekta povezane osobe s korisnikom</w:t>
            </w: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OIB gospodarskog subjekta povezane osobe s korisnikom</w:t>
            </w: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Nazivi državnih tijela ili pravnih osoba koje su odobrile potpore malih vrijednosti</w:t>
            </w: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Namjene ili projekti za koje su odobrene potpore</w:t>
            </w: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Iznosi potpora (EUR)</w:t>
            </w: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Datumi dodjele potpora</w:t>
            </w: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Dodijeljene potpore smo opravdali i namjenski iskoristili (DA/NE)</w:t>
            </w: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 w:val="restart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 xml:space="preserve">2021. </w:t>
            </w: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 w:val="restart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2022.</w:t>
            </w: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 w:val="restart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41AC3">
              <w:rPr>
                <w:sz w:val="22"/>
                <w:szCs w:val="22"/>
                <w:lang w:eastAsia="en-US"/>
              </w:rPr>
              <w:t>2023.</w:t>
            </w: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1AC3" w:rsidRPr="00C41AC3" w:rsidTr="00D0521A">
        <w:trPr>
          <w:trHeight w:val="414"/>
        </w:trPr>
        <w:tc>
          <w:tcPr>
            <w:tcW w:w="864" w:type="dxa"/>
            <w:vMerge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C41AC3" w:rsidRPr="00C41AC3" w:rsidRDefault="00C41AC3" w:rsidP="00C41AC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521A" w:rsidRPr="00C41AC3" w:rsidTr="00D0521A">
        <w:trPr>
          <w:trHeight w:val="414"/>
        </w:trPr>
        <w:tc>
          <w:tcPr>
            <w:tcW w:w="10196" w:type="dxa"/>
            <w:gridSpan w:val="5"/>
            <w:vAlign w:val="center"/>
          </w:tcPr>
          <w:p w:rsidR="00D0521A" w:rsidRPr="00C41AC3" w:rsidRDefault="00D0521A" w:rsidP="00D0521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1432" w:type="dxa"/>
            <w:vAlign w:val="center"/>
          </w:tcPr>
          <w:p w:rsidR="00D0521A" w:rsidRPr="00C41AC3" w:rsidRDefault="00D0521A" w:rsidP="00D0521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vAlign w:val="center"/>
          </w:tcPr>
          <w:p w:rsidR="00D0521A" w:rsidRPr="00C41AC3" w:rsidRDefault="00D0521A" w:rsidP="00D0521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D0521A" w:rsidRPr="00C41AC3" w:rsidRDefault="00D0521A" w:rsidP="00D0521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8321EB" w:rsidRPr="00D0521A" w:rsidRDefault="008321EB" w:rsidP="008321EB">
      <w:pPr>
        <w:spacing w:after="160" w:line="259" w:lineRule="auto"/>
        <w:jc w:val="both"/>
        <w:rPr>
          <w:rFonts w:eastAsia="Calibri"/>
          <w:iCs/>
          <w:sz w:val="16"/>
          <w:szCs w:val="16"/>
          <w:lang w:eastAsia="en-US"/>
        </w:rPr>
      </w:pPr>
      <w:r w:rsidRPr="00D0521A">
        <w:rPr>
          <w:rFonts w:eastAsia="Calibri"/>
          <w:iCs/>
          <w:sz w:val="16"/>
          <w:szCs w:val="16"/>
          <w:lang w:eastAsia="en-US"/>
        </w:rPr>
        <w:t>Za pretvaranje iznosa u valutu EUR primjenjuje se fiksni tečaj konverzije utvrđen Odlukom Vijeća EU 2022/1211 od 12.7.2022. godine i Odlukom Vlade RH o objavi uvođenja eura kao službene valute u RH (“Narodne novine”, br. 85/22), a koji iznosi 7,53450.</w:t>
      </w:r>
    </w:p>
    <w:p w:rsidR="00D0521A" w:rsidRPr="004515A0" w:rsidRDefault="00D0521A" w:rsidP="00D0521A">
      <w:pPr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 xml:space="preserve">Temeljem Uredbe Komisije (EU) br. 1401/2013 od 18. prosinca 2013. o primjeni članaka 107. i 108. Ugovora o funkcioniranju Europske unije na de </w:t>
      </w:r>
      <w:proofErr w:type="spellStart"/>
      <w:r w:rsidRPr="004515A0">
        <w:rPr>
          <w:bCs/>
          <w:sz w:val="20"/>
          <w:szCs w:val="20"/>
        </w:rPr>
        <w:t>minimis</w:t>
      </w:r>
      <w:proofErr w:type="spellEnd"/>
      <w:r w:rsidRPr="004515A0">
        <w:rPr>
          <w:bCs/>
          <w:sz w:val="20"/>
          <w:szCs w:val="20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poziva.</w:t>
      </w:r>
    </w:p>
    <w:p w:rsidR="00D0521A" w:rsidRPr="004515A0" w:rsidRDefault="00D0521A" w:rsidP="00D0521A">
      <w:pPr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>Pojmom „jedan poduzetnik” sukladno Uredbi obuhvaćena su sva poduzeća koja su u najmanje jednom od sljedećih međusobnih odnosa:</w:t>
      </w:r>
    </w:p>
    <w:p w:rsidR="00D0521A" w:rsidRPr="004515A0" w:rsidRDefault="00D0521A" w:rsidP="00D0521A">
      <w:pPr>
        <w:numPr>
          <w:ilvl w:val="0"/>
          <w:numId w:val="1"/>
        </w:numPr>
        <w:suppressAutoHyphens w:val="0"/>
        <w:ind w:hanging="578"/>
        <w:contextualSpacing/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>jedno poduzeće ima većinu glasačkih prava dioničara ili članova u drugom poduzeću</w:t>
      </w:r>
    </w:p>
    <w:p w:rsidR="00D0521A" w:rsidRPr="004515A0" w:rsidRDefault="00D0521A" w:rsidP="00D0521A">
      <w:pPr>
        <w:numPr>
          <w:ilvl w:val="0"/>
          <w:numId w:val="1"/>
        </w:numPr>
        <w:suppressAutoHyphens w:val="0"/>
        <w:ind w:hanging="578"/>
        <w:contextualSpacing/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D0521A" w:rsidRPr="004515A0" w:rsidRDefault="00D0521A" w:rsidP="00D0521A">
      <w:pPr>
        <w:numPr>
          <w:ilvl w:val="0"/>
          <w:numId w:val="1"/>
        </w:numPr>
        <w:suppressAutoHyphens w:val="0"/>
        <w:ind w:hanging="578"/>
        <w:contextualSpacing/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</w:t>
      </w:r>
    </w:p>
    <w:p w:rsidR="00D0521A" w:rsidRPr="004515A0" w:rsidRDefault="00D0521A" w:rsidP="00D0521A">
      <w:pPr>
        <w:numPr>
          <w:ilvl w:val="0"/>
          <w:numId w:val="1"/>
        </w:numPr>
        <w:suppressAutoHyphens w:val="0"/>
        <w:ind w:hanging="578"/>
        <w:contextualSpacing/>
        <w:jc w:val="both"/>
        <w:rPr>
          <w:bCs/>
          <w:sz w:val="20"/>
          <w:szCs w:val="20"/>
        </w:rPr>
      </w:pPr>
      <w:r w:rsidRPr="004515A0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D0521A" w:rsidRDefault="00D0521A" w:rsidP="00D0521A">
      <w:pPr>
        <w:ind w:right="16"/>
        <w:jc w:val="both"/>
        <w:rPr>
          <w:color w:val="000000"/>
          <w:spacing w:val="-2"/>
          <w:sz w:val="20"/>
          <w:szCs w:val="20"/>
        </w:rPr>
      </w:pPr>
      <w:r w:rsidRPr="004515A0">
        <w:rPr>
          <w:color w:val="000000"/>
          <w:spacing w:val="-2"/>
          <w:sz w:val="20"/>
          <w:szCs w:val="20"/>
        </w:rPr>
        <w:t>Poduzeća koja su u bilo kojem od navedenih odnosa preko jednog ili više drugih poduzeća isto se tako smatraju jednim poduzetnikom</w:t>
      </w:r>
    </w:p>
    <w:p w:rsidR="00D0521A" w:rsidRPr="004515A0" w:rsidRDefault="00D0521A" w:rsidP="008321EB">
      <w:pPr>
        <w:spacing w:after="160" w:line="259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:rsidR="008321EB" w:rsidRPr="004515A0" w:rsidRDefault="008321EB" w:rsidP="0047124E">
      <w:pPr>
        <w:ind w:right="16"/>
        <w:jc w:val="both"/>
        <w:rPr>
          <w:sz w:val="20"/>
          <w:szCs w:val="20"/>
        </w:rPr>
      </w:pP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</w:r>
      <w:r w:rsidRPr="004515A0">
        <w:rPr>
          <w:sz w:val="20"/>
          <w:szCs w:val="20"/>
        </w:rPr>
        <w:tab/>
        <w:t xml:space="preserve"> </w:t>
      </w:r>
      <w:r w:rsidRPr="004515A0">
        <w:rPr>
          <w:sz w:val="20"/>
          <w:szCs w:val="20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733F2" w:rsidRPr="007733F2" w:rsidTr="00F307B6">
        <w:tc>
          <w:tcPr>
            <w:tcW w:w="4664" w:type="dxa"/>
          </w:tcPr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733F2" w:rsidRPr="007733F2" w:rsidRDefault="00D0521A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Nova Gradiška,____________.2023.</w:t>
            </w:r>
          </w:p>
        </w:tc>
        <w:tc>
          <w:tcPr>
            <w:tcW w:w="4665" w:type="dxa"/>
          </w:tcPr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733F2">
              <w:rPr>
                <w:sz w:val="22"/>
                <w:szCs w:val="22"/>
                <w:lang w:eastAsia="en-US"/>
              </w:rPr>
              <w:t>M.P</w:t>
            </w:r>
            <w:proofErr w:type="spellEnd"/>
            <w:r w:rsidRPr="007733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5" w:type="dxa"/>
          </w:tcPr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7733F2">
              <w:rPr>
                <w:sz w:val="22"/>
                <w:szCs w:val="22"/>
                <w:lang w:eastAsia="en-US"/>
              </w:rPr>
              <w:t>____________________</w:t>
            </w:r>
          </w:p>
          <w:p w:rsidR="007733F2" w:rsidRPr="007733F2" w:rsidRDefault="007733F2" w:rsidP="007733F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7733F2">
              <w:rPr>
                <w:sz w:val="16"/>
                <w:szCs w:val="16"/>
                <w:lang w:eastAsia="hr-HR"/>
              </w:rPr>
              <w:t>(potpis odgovorne  osobe)</w:t>
            </w:r>
          </w:p>
        </w:tc>
      </w:tr>
    </w:tbl>
    <w:p w:rsidR="008321EB" w:rsidRPr="004515A0" w:rsidRDefault="008321EB" w:rsidP="008321EB">
      <w:pPr>
        <w:ind w:left="4253" w:right="16" w:firstLine="708"/>
        <w:jc w:val="both"/>
        <w:rPr>
          <w:i/>
          <w:sz w:val="20"/>
          <w:szCs w:val="20"/>
        </w:rPr>
      </w:pPr>
    </w:p>
    <w:sectPr w:rsidR="008321EB" w:rsidRPr="004515A0" w:rsidSect="00C41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993" w:bottom="566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B6" w:rsidRDefault="00EE34B6">
      <w:r>
        <w:separator/>
      </w:r>
    </w:p>
  </w:endnote>
  <w:endnote w:type="continuationSeparator" w:id="0">
    <w:p w:rsidR="00EE34B6" w:rsidRDefault="00E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2" w:rsidRDefault="00232F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18" w:rsidRDefault="008321EB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083648">
      <w:rPr>
        <w:noProof/>
      </w:rPr>
      <w:t>1</w:t>
    </w:r>
    <w:r>
      <w:fldChar w:fldCharType="end"/>
    </w:r>
  </w:p>
  <w:p w:rsidR="00466A18" w:rsidRDefault="00EE34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2" w:rsidRDefault="00232F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B6" w:rsidRDefault="00EE34B6">
      <w:r>
        <w:separator/>
      </w:r>
    </w:p>
  </w:footnote>
  <w:footnote w:type="continuationSeparator" w:id="0">
    <w:p w:rsidR="00EE34B6" w:rsidRDefault="00EE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2" w:rsidRDefault="00232F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2" w:rsidRDefault="00232FF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2" w:rsidRDefault="00232F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06"/>
    <w:rsid w:val="00007769"/>
    <w:rsid w:val="00083648"/>
    <w:rsid w:val="00232FF2"/>
    <w:rsid w:val="004515A0"/>
    <w:rsid w:val="0047124E"/>
    <w:rsid w:val="00560F06"/>
    <w:rsid w:val="007733F2"/>
    <w:rsid w:val="008321EB"/>
    <w:rsid w:val="00A05633"/>
    <w:rsid w:val="00B114DC"/>
    <w:rsid w:val="00BA40FB"/>
    <w:rsid w:val="00C3548C"/>
    <w:rsid w:val="00C414EB"/>
    <w:rsid w:val="00C41AC3"/>
    <w:rsid w:val="00CE0BAE"/>
    <w:rsid w:val="00D0521A"/>
    <w:rsid w:val="00D37AF8"/>
    <w:rsid w:val="00EB46F6"/>
    <w:rsid w:val="00EC036A"/>
    <w:rsid w:val="00EC3D41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321EB"/>
  </w:style>
  <w:style w:type="character" w:customStyle="1" w:styleId="PodnojeChar">
    <w:name w:val="Podnožje Char"/>
    <w:basedOn w:val="Zadanifontodlomka"/>
    <w:link w:val="Podnoje"/>
    <w:rsid w:val="008321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32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FF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77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321EB"/>
  </w:style>
  <w:style w:type="character" w:customStyle="1" w:styleId="PodnojeChar">
    <w:name w:val="Podnožje Char"/>
    <w:basedOn w:val="Zadanifontodlomka"/>
    <w:link w:val="Podnoje"/>
    <w:rsid w:val="008321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32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FF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77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2023-10-12T07:53:00Z</cp:lastPrinted>
  <dcterms:created xsi:type="dcterms:W3CDTF">2023-10-10T12:25:00Z</dcterms:created>
  <dcterms:modified xsi:type="dcterms:W3CDTF">2023-10-17T09:40:00Z</dcterms:modified>
</cp:coreProperties>
</file>